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41E" w:rsidRDefault="008F141E">
      <w:pPr>
        <w:spacing w:line="480" w:lineRule="exact"/>
        <w:ind w:firstLineChars="0" w:firstLine="0"/>
        <w:jc w:val="center"/>
        <w:rPr>
          <w:rFonts w:ascii="仿宋_GB2312" w:eastAsia="仿宋_GB2312" w:hAnsi="仿宋"/>
          <w:sz w:val="24"/>
          <w:szCs w:val="24"/>
        </w:rPr>
      </w:pPr>
    </w:p>
    <w:p w:rsidR="0017284B" w:rsidRDefault="003616F5">
      <w:pPr>
        <w:spacing w:line="480" w:lineRule="exact"/>
        <w:ind w:firstLineChars="0" w:firstLine="0"/>
        <w:jc w:val="center"/>
        <w:rPr>
          <w:rFonts w:ascii="仿宋_GB2312" w:eastAsia="仿宋_GB2312" w:hAnsi="仿宋"/>
          <w:b/>
          <w:sz w:val="32"/>
          <w:szCs w:val="32"/>
        </w:rPr>
      </w:pPr>
      <w:bookmarkStart w:id="0" w:name="_GoBack"/>
      <w:bookmarkEnd w:id="0"/>
      <w:r>
        <w:rPr>
          <w:rFonts w:ascii="仿宋_GB2312" w:eastAsia="仿宋_GB2312" w:hAnsi="仿宋" w:hint="eastAsia"/>
          <w:b/>
          <w:sz w:val="32"/>
          <w:szCs w:val="32"/>
        </w:rPr>
        <w:t>武汉大学学生暑期社会实践活动</w:t>
      </w:r>
    </w:p>
    <w:p w:rsidR="0017284B" w:rsidRDefault="003616F5">
      <w:pPr>
        <w:spacing w:line="480" w:lineRule="exact"/>
        <w:ind w:firstLineChars="0" w:firstLine="0"/>
        <w:jc w:val="center"/>
        <w:rPr>
          <w:rFonts w:ascii="仿宋_GB2312" w:eastAsia="仿宋_GB2312" w:hAnsi="仿宋"/>
          <w:b/>
          <w:sz w:val="32"/>
          <w:szCs w:val="32"/>
        </w:rPr>
      </w:pPr>
      <w:r>
        <w:rPr>
          <w:rFonts w:ascii="仿宋_GB2312" w:eastAsia="仿宋_GB2312" w:hAnsi="仿宋" w:hint="eastAsia"/>
          <w:b/>
          <w:sz w:val="32"/>
          <w:szCs w:val="32"/>
        </w:rPr>
        <w:t>资助经费报销制度</w:t>
      </w:r>
    </w:p>
    <w:p w:rsidR="0017284B" w:rsidRDefault="003616F5">
      <w:pPr>
        <w:spacing w:line="480" w:lineRule="exact"/>
        <w:ind w:firstLine="480"/>
        <w:rPr>
          <w:rFonts w:ascii="仿宋_GB2312" w:eastAsia="仿宋_GB2312" w:hAnsi="仿宋"/>
          <w:sz w:val="24"/>
          <w:szCs w:val="24"/>
        </w:rPr>
      </w:pPr>
      <w:r>
        <w:rPr>
          <w:rFonts w:ascii="仿宋_GB2312" w:eastAsia="仿宋_GB2312" w:hAnsi="仿宋" w:hint="eastAsia"/>
          <w:sz w:val="24"/>
          <w:szCs w:val="24"/>
        </w:rPr>
        <w:t>武汉大学学生暑期社会实践专项经费是为了鼓励和支持师生参与暑期社会实践活动而设立。为了保证经费资助的严肃性，特制定本报销制度，接受资助的各团队必须遵守。</w:t>
      </w:r>
    </w:p>
    <w:p w:rsidR="0017284B" w:rsidRDefault="003616F5">
      <w:pPr>
        <w:pStyle w:val="1"/>
        <w:numPr>
          <w:ilvl w:val="0"/>
          <w:numId w:val="1"/>
        </w:numPr>
        <w:spacing w:line="480" w:lineRule="exact"/>
        <w:ind w:left="0" w:firstLine="562"/>
        <w:jc w:val="left"/>
        <w:rPr>
          <w:rFonts w:ascii="仿宋_GB2312" w:eastAsia="仿宋_GB2312" w:hAnsi="仿宋"/>
          <w:b/>
          <w:sz w:val="28"/>
          <w:szCs w:val="28"/>
        </w:rPr>
      </w:pPr>
      <w:r>
        <w:rPr>
          <w:rFonts w:ascii="仿宋_GB2312" w:eastAsia="仿宋_GB2312" w:hAnsi="仿宋" w:hint="eastAsia"/>
          <w:b/>
          <w:sz w:val="28"/>
          <w:szCs w:val="28"/>
        </w:rPr>
        <w:t>基本制度</w:t>
      </w:r>
    </w:p>
    <w:p w:rsidR="0017284B" w:rsidRDefault="003616F5">
      <w:pPr>
        <w:spacing w:line="480" w:lineRule="exact"/>
        <w:ind w:firstLineChars="0"/>
        <w:rPr>
          <w:rFonts w:ascii="仿宋_GB2312" w:eastAsia="仿宋_GB2312" w:hAnsi="仿宋"/>
          <w:sz w:val="24"/>
          <w:szCs w:val="24"/>
        </w:rPr>
      </w:pPr>
      <w:r>
        <w:rPr>
          <w:rFonts w:ascii="仿宋_GB2312" w:eastAsia="仿宋_GB2312" w:hAnsi="仿宋" w:hint="eastAsia"/>
          <w:sz w:val="24"/>
          <w:szCs w:val="24"/>
        </w:rPr>
        <w:t>支出必须有正式发票，收据无效。正式发票须经</w:t>
      </w:r>
      <w:r>
        <w:rPr>
          <w:rFonts w:ascii="仿宋_GB2312" w:eastAsia="仿宋_GB2312" w:hAnsi="仿宋" w:hint="eastAsia"/>
          <w:color w:val="000000"/>
          <w:sz w:val="24"/>
          <w:szCs w:val="24"/>
        </w:rPr>
        <w:t>被</w:t>
      </w:r>
      <w:r>
        <w:rPr>
          <w:rFonts w:ascii="仿宋_GB2312" w:eastAsia="仿宋_GB2312" w:hAnsi="仿宋" w:hint="eastAsia"/>
          <w:sz w:val="24"/>
          <w:szCs w:val="24"/>
        </w:rPr>
        <w:t>资助团队领队在发票背面签字后方可报销。发票抬头必须为武汉大学。开具地点必须为武汉或者实践地。</w:t>
      </w:r>
    </w:p>
    <w:p w:rsidR="0017284B" w:rsidRDefault="003616F5">
      <w:pPr>
        <w:spacing w:line="480" w:lineRule="exact"/>
        <w:ind w:firstLineChars="0"/>
        <w:rPr>
          <w:rFonts w:ascii="仿宋_GB2312" w:eastAsia="仿宋_GB2312" w:hAnsi="仿宋"/>
          <w:sz w:val="24"/>
          <w:szCs w:val="24"/>
        </w:rPr>
      </w:pPr>
      <w:r>
        <w:rPr>
          <w:rFonts w:ascii="仿宋_GB2312" w:eastAsia="仿宋_GB2312" w:hAnsi="仿宋" w:hint="eastAsia"/>
          <w:sz w:val="24"/>
          <w:szCs w:val="24"/>
        </w:rPr>
        <w:t>除带队老师外，长途交通费限报火车硬座票、硬卧票，动车二等座、高铁二等座和长途汽车票，其他交通费不予报销（轮船不得超过三等舱级别）。</w:t>
      </w:r>
    </w:p>
    <w:p w:rsidR="0017284B" w:rsidRDefault="003616F5">
      <w:pPr>
        <w:spacing w:line="480" w:lineRule="exact"/>
        <w:ind w:firstLineChars="0"/>
        <w:rPr>
          <w:rFonts w:ascii="仿宋_GB2312" w:eastAsia="仿宋_GB2312" w:hAnsi="仿宋"/>
          <w:sz w:val="24"/>
          <w:szCs w:val="24"/>
        </w:rPr>
      </w:pPr>
      <w:r>
        <w:rPr>
          <w:rFonts w:ascii="仿宋_GB2312" w:eastAsia="仿宋_GB2312" w:hAnsi="仿宋"/>
          <w:sz w:val="24"/>
          <w:szCs w:val="24"/>
        </w:rPr>
        <w:t>车票必须成环</w:t>
      </w:r>
      <w:r>
        <w:rPr>
          <w:rFonts w:ascii="仿宋_GB2312" w:eastAsia="仿宋_GB2312" w:hAnsi="仿宋" w:hint="eastAsia"/>
          <w:sz w:val="24"/>
          <w:szCs w:val="24"/>
        </w:rPr>
        <w:t>，</w:t>
      </w:r>
      <w:r>
        <w:rPr>
          <w:rFonts w:ascii="仿宋_GB2312" w:eastAsia="仿宋_GB2312" w:hAnsi="仿宋"/>
          <w:sz w:val="24"/>
          <w:szCs w:val="24"/>
        </w:rPr>
        <w:t>即车票往返地点首尾相接</w:t>
      </w:r>
      <w:r>
        <w:rPr>
          <w:rFonts w:ascii="仿宋_GB2312" w:eastAsia="仿宋_GB2312" w:hAnsi="仿宋" w:hint="eastAsia"/>
          <w:sz w:val="24"/>
          <w:szCs w:val="24"/>
        </w:rPr>
        <w:t>，单程车票不予报销。且必须体现集体活动，同一时间仅有单人往返实践地点不予报销。</w:t>
      </w:r>
    </w:p>
    <w:p w:rsidR="0017284B" w:rsidRDefault="003616F5">
      <w:pPr>
        <w:spacing w:line="480" w:lineRule="exact"/>
        <w:ind w:firstLineChars="0" w:firstLine="480"/>
        <w:rPr>
          <w:rFonts w:ascii="仿宋_GB2312" w:eastAsia="仿宋_GB2312" w:hAnsi="仿宋"/>
          <w:sz w:val="24"/>
          <w:szCs w:val="24"/>
        </w:rPr>
      </w:pPr>
      <w:r>
        <w:rPr>
          <w:rFonts w:ascii="仿宋_GB2312" w:eastAsia="仿宋_GB2312" w:hAnsi="仿宋" w:hint="eastAsia"/>
          <w:sz w:val="24"/>
          <w:szCs w:val="24"/>
        </w:rPr>
        <w:t>住宿旅馆的必须出具发票，发票开具地必须为实践地点。如实践地承担住宿，则需要实践地出具住宿证明。车票往返时间必须与住宿发票或证明开具时间相吻合，否则住宿费、往返车票费均不予报销。</w:t>
      </w:r>
    </w:p>
    <w:p w:rsidR="0017284B" w:rsidRDefault="003616F5">
      <w:pPr>
        <w:spacing w:line="480" w:lineRule="exact"/>
        <w:ind w:firstLineChars="0" w:firstLine="480"/>
        <w:rPr>
          <w:rFonts w:ascii="仿宋_GB2312" w:eastAsia="仿宋_GB2312" w:hAnsi="仿宋"/>
          <w:b/>
          <w:sz w:val="28"/>
          <w:szCs w:val="28"/>
        </w:rPr>
      </w:pPr>
      <w:r>
        <w:rPr>
          <w:rFonts w:ascii="仿宋_GB2312" w:eastAsia="仿宋_GB2312" w:hAnsi="仿宋" w:hint="eastAsia"/>
          <w:b/>
          <w:sz w:val="28"/>
          <w:szCs w:val="28"/>
        </w:rPr>
        <w:t>二、</w:t>
      </w:r>
      <w:r>
        <w:rPr>
          <w:rFonts w:ascii="仿宋_GB2312" w:eastAsia="仿宋_GB2312" w:hAnsi="仿宋" w:hint="eastAsia"/>
          <w:b/>
          <w:sz w:val="28"/>
          <w:szCs w:val="28"/>
        </w:rPr>
        <w:t xml:space="preserve"> </w:t>
      </w:r>
      <w:r>
        <w:rPr>
          <w:rFonts w:ascii="仿宋_GB2312" w:eastAsia="仿宋_GB2312" w:hAnsi="仿宋" w:hint="eastAsia"/>
          <w:b/>
          <w:sz w:val="28"/>
          <w:szCs w:val="28"/>
        </w:rPr>
        <w:t>报销流程</w:t>
      </w:r>
    </w:p>
    <w:p w:rsidR="0017284B" w:rsidRDefault="003616F5">
      <w:pPr>
        <w:spacing w:line="480" w:lineRule="exact"/>
        <w:ind w:firstLine="480"/>
        <w:rPr>
          <w:rFonts w:ascii="仿宋_GB2312" w:eastAsia="仿宋_GB2312" w:hAnsi="仿宋"/>
          <w:sz w:val="24"/>
          <w:szCs w:val="24"/>
        </w:rPr>
      </w:pPr>
      <w:r>
        <w:rPr>
          <w:rFonts w:ascii="仿宋_GB2312" w:eastAsia="仿宋_GB2312" w:hAnsi="仿宋" w:hint="eastAsia"/>
          <w:sz w:val="24"/>
          <w:szCs w:val="24"/>
        </w:rPr>
        <w:t>（一</w:t>
      </w:r>
      <w:r>
        <w:rPr>
          <w:rFonts w:ascii="仿宋_GB2312" w:eastAsia="仿宋_GB2312" w:hAnsi="仿宋"/>
          <w:sz w:val="24"/>
          <w:szCs w:val="24"/>
        </w:rPr>
        <w:t>）</w:t>
      </w:r>
      <w:r>
        <w:rPr>
          <w:rFonts w:ascii="仿宋_GB2312" w:eastAsia="仿宋_GB2312" w:hAnsi="仿宋" w:hint="eastAsia"/>
          <w:sz w:val="24"/>
          <w:szCs w:val="24"/>
        </w:rPr>
        <w:t>活动过程中，各团队队长必妥善保存好车票，团队队员住宿费及因公开销须开具正式发票（凡报销发票均须写清具体用途和物品，列出详细清单，若只写“文具”、“办公用品”、“礼品”等字样则不予报销），以便作最后报销之据。</w:t>
      </w:r>
    </w:p>
    <w:p w:rsidR="0017284B" w:rsidRDefault="003616F5">
      <w:pPr>
        <w:spacing w:line="480" w:lineRule="exact"/>
        <w:ind w:firstLine="480"/>
        <w:rPr>
          <w:rFonts w:ascii="仿宋_GB2312" w:eastAsia="仿宋_GB2312" w:hAnsi="仿宋"/>
          <w:sz w:val="24"/>
          <w:szCs w:val="24"/>
        </w:rPr>
      </w:pPr>
      <w:r>
        <w:rPr>
          <w:rFonts w:ascii="仿宋_GB2312" w:eastAsia="仿宋_GB2312" w:hAnsi="仿宋" w:hint="eastAsia"/>
          <w:sz w:val="24"/>
          <w:szCs w:val="24"/>
        </w:rPr>
        <w:t>（</w:t>
      </w:r>
      <w:r>
        <w:rPr>
          <w:rFonts w:ascii="仿宋_GB2312" w:eastAsia="仿宋_GB2312" w:hAnsi="仿宋" w:hint="eastAsia"/>
          <w:sz w:val="24"/>
          <w:szCs w:val="24"/>
        </w:rPr>
        <w:t>二</w:t>
      </w:r>
      <w:r>
        <w:rPr>
          <w:rFonts w:ascii="仿宋_GB2312" w:eastAsia="仿宋_GB2312" w:hAnsi="仿宋"/>
          <w:sz w:val="24"/>
          <w:szCs w:val="24"/>
        </w:rPr>
        <w:t>）</w:t>
      </w:r>
      <w:r>
        <w:rPr>
          <w:rFonts w:ascii="仿宋_GB2312" w:eastAsia="仿宋_GB2312" w:hAnsi="仿宋" w:hint="eastAsia"/>
          <w:sz w:val="24"/>
          <w:szCs w:val="24"/>
        </w:rPr>
        <w:t>具体流程：</w:t>
      </w:r>
    </w:p>
    <w:p w:rsidR="0017284B" w:rsidRDefault="003616F5">
      <w:pPr>
        <w:spacing w:line="480" w:lineRule="exact"/>
        <w:ind w:firstLine="480"/>
        <w:rPr>
          <w:rFonts w:ascii="仿宋_GB2312" w:eastAsia="仿宋_GB2312" w:hAnsi="仿宋"/>
          <w:sz w:val="24"/>
          <w:szCs w:val="24"/>
        </w:rPr>
      </w:pPr>
      <w:r>
        <w:rPr>
          <w:rFonts w:ascii="仿宋_GB2312" w:eastAsia="仿宋_GB2312" w:hAnsi="仿宋"/>
          <w:sz w:val="24"/>
          <w:szCs w:val="24"/>
        </w:rPr>
        <w:pict>
          <v:group id="_x0000_s1041" style="position:absolute;left:0;text-align:left;margin-left:26.55pt;margin-top:7.25pt;width:386.25pt;height:114.45pt;z-index:1" coordorigin="2172,11350" coordsize="7725,2028">
            <v:rect id="Rectangle 7" o:spid="_x0000_s1042" style="position:absolute;left:4578;top:11350;width:1620;height:2028" o:preferrelative="t">
              <v:stroke miterlimit="2"/>
              <v:textbox>
                <w:txbxContent>
                  <w:p w:rsidR="0017284B" w:rsidRDefault="003616F5">
                    <w:pPr>
                      <w:ind w:firstLineChars="150" w:firstLine="315"/>
                      <w:rPr>
                        <w:rFonts w:cs="宋体"/>
                      </w:rPr>
                    </w:pPr>
                    <w:r>
                      <w:rPr>
                        <w:rFonts w:cs="宋体" w:hint="eastAsia"/>
                      </w:rPr>
                      <w:t>开学返校后，</w:t>
                    </w:r>
                    <w:r>
                      <w:rPr>
                        <w:rFonts w:cs="宋体" w:hint="eastAsia"/>
                        <w:color w:val="000000"/>
                      </w:rPr>
                      <w:t>经</w:t>
                    </w:r>
                    <w:r>
                      <w:rPr>
                        <w:rFonts w:cs="宋体" w:hint="eastAsia"/>
                      </w:rPr>
                      <w:t>校团委科技与实践办公室核实其真实性并确定拨付剩余三分之一资助金额</w:t>
                    </w:r>
                  </w:p>
                </w:txbxContent>
              </v:textbox>
            </v:rect>
            <v:group id="_x0000_s1043" style="position:absolute;left:2172;top:11350;width:7725;height:2028" coordorigin="2172,11350" coordsize="7725,2028">
              <v:rect id="Rectangle 6" o:spid="_x0000_s1044" style="position:absolute;left:2172;top:11350;width:1440;height:2028" o:preferrelative="t">
                <v:stroke miterlimit="2"/>
                <v:textbox>
                  <w:txbxContent>
                    <w:p w:rsidR="0017284B" w:rsidRDefault="003616F5">
                      <w:pPr>
                        <w:ind w:firstLineChars="100" w:firstLine="210"/>
                        <w:rPr>
                          <w:rFonts w:cs="宋体"/>
                        </w:rPr>
                      </w:pPr>
                      <w:r>
                        <w:rPr>
                          <w:rFonts w:cs="宋体" w:hint="eastAsia"/>
                        </w:rPr>
                        <w:t>活动结束后，各队领队</w:t>
                      </w:r>
                      <w:r>
                        <w:rPr>
                          <w:rFonts w:cs="宋体" w:hint="eastAsia"/>
                          <w:color w:val="000000"/>
                        </w:rPr>
                        <w:t>须</w:t>
                      </w:r>
                      <w:r>
                        <w:rPr>
                          <w:rFonts w:cs="宋体" w:hint="eastAsia"/>
                        </w:rPr>
                        <w:t>将报账凭证（车票、发票）整理好</w:t>
                      </w:r>
                    </w:p>
                  </w:txbxContent>
                </v:textbox>
              </v:rect>
              <v:rect id="Rectangle 8" o:spid="_x0000_s1045" style="position:absolute;left:7017;top:11350;width:2880;height:2028" o:preferrelative="t">
                <v:stroke miterlimit="2"/>
                <v:textbox>
                  <w:txbxContent>
                    <w:p w:rsidR="0017284B" w:rsidRDefault="003616F5">
                      <w:pPr>
                        <w:rPr>
                          <w:rFonts w:cs="宋体"/>
                        </w:rPr>
                      </w:pPr>
                      <w:r>
                        <w:rPr>
                          <w:rFonts w:cs="宋体" w:hint="eastAsia"/>
                        </w:rPr>
                        <w:t>各领队在规定的时间内，凭有效证件并带齐账面金额不少于资助总金额（</w:t>
                      </w:r>
                      <w:r>
                        <w:rPr>
                          <w:rFonts w:cs="宋体" w:hint="eastAsia"/>
                        </w:rPr>
                        <w:t>含保险费）的发票与车票，到校团委综合办公室报销全部资助金额。</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o:spid="_x0000_s1046" type="#_x0000_t13" style="position:absolute;left:3732;top:12232;width:764;height:340" o:preferrelative="t" adj="7650,5434">
                <v:stroke miterlimit="2"/>
                <v:shadow on="t" offset=",1pt" offset2="-2pt,-2pt"/>
              </v:shape>
              <v:shape id="AutoShape 5" o:spid="_x0000_s1047" type="#_x0000_t13" style="position:absolute;left:6268;top:12233;width:644;height:339" o:preferrelative="t" adj="10800,5383">
                <v:stroke miterlimit="2"/>
                <v:shadow on="t" offset=",1pt" offset2="-2pt,-2pt"/>
              </v:shape>
            </v:group>
          </v:group>
        </w:pict>
      </w:r>
    </w:p>
    <w:p w:rsidR="0017284B" w:rsidRDefault="0017284B">
      <w:pPr>
        <w:spacing w:line="480" w:lineRule="exact"/>
        <w:ind w:firstLine="480"/>
        <w:rPr>
          <w:rFonts w:ascii="仿宋_GB2312" w:eastAsia="仿宋_GB2312" w:hAnsi="仿宋"/>
          <w:sz w:val="24"/>
          <w:szCs w:val="24"/>
        </w:rPr>
      </w:pPr>
    </w:p>
    <w:p w:rsidR="0017284B" w:rsidRDefault="0017284B">
      <w:pPr>
        <w:spacing w:line="480" w:lineRule="exact"/>
        <w:ind w:firstLine="480"/>
        <w:rPr>
          <w:rFonts w:ascii="仿宋_GB2312" w:eastAsia="仿宋_GB2312" w:hAnsi="仿宋"/>
          <w:sz w:val="24"/>
          <w:szCs w:val="24"/>
        </w:rPr>
      </w:pPr>
    </w:p>
    <w:p w:rsidR="0017284B" w:rsidRDefault="0017284B">
      <w:pPr>
        <w:spacing w:line="480" w:lineRule="exact"/>
        <w:ind w:firstLine="480"/>
        <w:rPr>
          <w:rFonts w:ascii="仿宋_GB2312" w:eastAsia="仿宋_GB2312" w:hAnsi="仿宋"/>
          <w:sz w:val="24"/>
          <w:szCs w:val="24"/>
        </w:rPr>
      </w:pPr>
    </w:p>
    <w:p w:rsidR="0017284B" w:rsidRDefault="0017284B">
      <w:pPr>
        <w:spacing w:line="480" w:lineRule="exact"/>
        <w:ind w:firstLine="480"/>
        <w:rPr>
          <w:rFonts w:ascii="仿宋_GB2312" w:eastAsia="仿宋_GB2312" w:hAnsi="仿宋"/>
          <w:sz w:val="24"/>
          <w:szCs w:val="24"/>
        </w:rPr>
      </w:pPr>
    </w:p>
    <w:p w:rsidR="0017284B" w:rsidRDefault="003616F5">
      <w:pPr>
        <w:spacing w:line="480" w:lineRule="exact"/>
        <w:ind w:firstLine="480"/>
        <w:rPr>
          <w:rFonts w:ascii="仿宋_GB2312" w:eastAsia="仿宋_GB2312" w:hAnsi="仿宋"/>
          <w:sz w:val="24"/>
          <w:szCs w:val="24"/>
        </w:rPr>
      </w:pPr>
      <w:r>
        <w:rPr>
          <w:rFonts w:ascii="仿宋_GB2312" w:eastAsia="仿宋_GB2312" w:hAnsi="仿宋" w:hint="eastAsia"/>
          <w:sz w:val="24"/>
          <w:szCs w:val="24"/>
        </w:rPr>
        <w:t>本制度的解释权归共青团武汉大学委员会。</w:t>
      </w:r>
    </w:p>
    <w:p w:rsidR="0017284B" w:rsidRDefault="003616F5">
      <w:pPr>
        <w:spacing w:line="480" w:lineRule="exact"/>
        <w:ind w:right="480" w:firstLineChars="0" w:firstLine="0"/>
        <w:jc w:val="right"/>
        <w:rPr>
          <w:rFonts w:ascii="仿宋_GB2312" w:eastAsia="仿宋_GB2312" w:hAnsi="仿宋"/>
          <w:sz w:val="24"/>
          <w:szCs w:val="24"/>
        </w:rPr>
      </w:pPr>
      <w:r>
        <w:rPr>
          <w:rFonts w:ascii="仿宋_GB2312" w:eastAsia="仿宋_GB2312" w:hAnsi="仿宋" w:hint="eastAsia"/>
          <w:sz w:val="24"/>
          <w:szCs w:val="24"/>
        </w:rPr>
        <w:t>共青团武汉大学委员会</w:t>
      </w:r>
    </w:p>
    <w:p w:rsidR="0017284B" w:rsidRDefault="003616F5">
      <w:pPr>
        <w:spacing w:line="480" w:lineRule="exact"/>
        <w:ind w:right="720" w:firstLineChars="0" w:firstLine="0"/>
        <w:jc w:val="right"/>
        <w:rPr>
          <w:rFonts w:ascii="仿宋_GB2312" w:eastAsia="仿宋_GB2312" w:hAnsi="仿宋"/>
          <w:sz w:val="24"/>
          <w:szCs w:val="24"/>
        </w:rPr>
      </w:pPr>
      <w:r>
        <w:rPr>
          <w:rFonts w:ascii="仿宋_GB2312" w:eastAsia="仿宋_GB2312" w:hAnsi="仿宋" w:hint="eastAsia"/>
          <w:sz w:val="24"/>
          <w:szCs w:val="24"/>
        </w:rPr>
        <w:t>二</w:t>
      </w:r>
      <w:r>
        <w:rPr>
          <w:rFonts w:ascii="微软雅黑" w:eastAsia="微软雅黑" w:hAnsi="微软雅黑" w:cs="微软雅黑" w:hint="eastAsia"/>
          <w:sz w:val="24"/>
          <w:szCs w:val="24"/>
        </w:rPr>
        <w:t>〇</w:t>
      </w:r>
      <w:r>
        <w:rPr>
          <w:rFonts w:ascii="仿宋_GB2312" w:eastAsia="仿宋_GB2312" w:hAnsi="仿宋" w:hint="eastAsia"/>
          <w:sz w:val="24"/>
          <w:szCs w:val="24"/>
        </w:rPr>
        <w:t>一</w:t>
      </w:r>
      <w:r>
        <w:rPr>
          <w:rFonts w:ascii="仿宋_GB2312" w:eastAsia="仿宋_GB2312" w:hAnsi="仿宋" w:hint="eastAsia"/>
          <w:sz w:val="24"/>
          <w:szCs w:val="24"/>
        </w:rPr>
        <w:t>八</w:t>
      </w:r>
      <w:r>
        <w:rPr>
          <w:rFonts w:ascii="仿宋_GB2312" w:eastAsia="仿宋_GB2312" w:hAnsi="仿宋" w:hint="eastAsia"/>
          <w:sz w:val="24"/>
          <w:szCs w:val="24"/>
        </w:rPr>
        <w:t>年六月</w:t>
      </w:r>
    </w:p>
    <w:sectPr w:rsidR="0017284B">
      <w:headerReference w:type="even" r:id="rId8"/>
      <w:headerReference w:type="default" r:id="rId9"/>
      <w:footerReference w:type="even" r:id="rId10"/>
      <w:footerReference w:type="default" r:id="rId11"/>
      <w:headerReference w:type="first" r:id="rId12"/>
      <w:footerReference w:type="first" r:id="rId13"/>
      <w:pgSz w:w="11906" w:h="16838"/>
      <w:pgMar w:top="993"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6F5" w:rsidRDefault="003616F5">
      <w:pPr>
        <w:spacing w:line="240" w:lineRule="auto"/>
      </w:pPr>
      <w:r>
        <w:separator/>
      </w:r>
    </w:p>
  </w:endnote>
  <w:endnote w:type="continuationSeparator" w:id="0">
    <w:p w:rsidR="003616F5" w:rsidRDefault="00361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6"/>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6F5" w:rsidRDefault="003616F5">
      <w:pPr>
        <w:spacing w:line="240" w:lineRule="auto"/>
      </w:pPr>
      <w:r>
        <w:separator/>
      </w:r>
    </w:p>
  </w:footnote>
  <w:footnote w:type="continuationSeparator" w:id="0">
    <w:p w:rsidR="003616F5" w:rsidRDefault="003616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7"/>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84B" w:rsidRDefault="0017284B">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D3CA8"/>
    <w:multiLevelType w:val="multilevel"/>
    <w:tmpl w:val="2B6D3CA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NotTrackMoves/>
  <w:defaultTabStop w:val="420"/>
  <w:drawingGridVerticalSpacing w:val="200"/>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EF7"/>
    <w:rsid w:val="000C6C35"/>
    <w:rsid w:val="001566EC"/>
    <w:rsid w:val="0017284B"/>
    <w:rsid w:val="001A22B6"/>
    <w:rsid w:val="002609CB"/>
    <w:rsid w:val="002A5D80"/>
    <w:rsid w:val="002F035D"/>
    <w:rsid w:val="00337977"/>
    <w:rsid w:val="003616F5"/>
    <w:rsid w:val="003A296E"/>
    <w:rsid w:val="003D2340"/>
    <w:rsid w:val="004104EA"/>
    <w:rsid w:val="004319EF"/>
    <w:rsid w:val="004417B2"/>
    <w:rsid w:val="0045772C"/>
    <w:rsid w:val="004B2A7C"/>
    <w:rsid w:val="00505CFC"/>
    <w:rsid w:val="005640B5"/>
    <w:rsid w:val="005B45CC"/>
    <w:rsid w:val="0070195F"/>
    <w:rsid w:val="007C50B7"/>
    <w:rsid w:val="008145CA"/>
    <w:rsid w:val="00872398"/>
    <w:rsid w:val="0088215B"/>
    <w:rsid w:val="00894C65"/>
    <w:rsid w:val="008F141E"/>
    <w:rsid w:val="00903B29"/>
    <w:rsid w:val="009222E3"/>
    <w:rsid w:val="00A84AD3"/>
    <w:rsid w:val="00AD2A60"/>
    <w:rsid w:val="00AE6FBE"/>
    <w:rsid w:val="00B530FB"/>
    <w:rsid w:val="00B8012D"/>
    <w:rsid w:val="00BB5311"/>
    <w:rsid w:val="00BB756A"/>
    <w:rsid w:val="00C02EF7"/>
    <w:rsid w:val="00C14BB1"/>
    <w:rsid w:val="00C60575"/>
    <w:rsid w:val="00D5145F"/>
    <w:rsid w:val="00D86400"/>
    <w:rsid w:val="00D86B78"/>
    <w:rsid w:val="00DC43F1"/>
    <w:rsid w:val="00DD478D"/>
    <w:rsid w:val="00E32D0F"/>
    <w:rsid w:val="00E97933"/>
    <w:rsid w:val="00EA02FC"/>
    <w:rsid w:val="00EB3B25"/>
    <w:rsid w:val="00EF7090"/>
    <w:rsid w:val="00F27A2C"/>
    <w:rsid w:val="1AC13C8E"/>
    <w:rsid w:val="68A90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E1896B44-26C4-4041-8F1C-F4FBEE180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40" w:lineRule="atLeast"/>
      <w:ind w:firstLineChars="200" w:firstLine="420"/>
      <w:jc w:val="both"/>
    </w:pPr>
    <w:rPr>
      <w:rFonts w:ascii="宋体" w:hAnsi="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unhideWhenUsed/>
    <w:rPr>
      <w:b/>
      <w:bCs/>
    </w:rPr>
  </w:style>
  <w:style w:type="paragraph" w:styleId="a4">
    <w:name w:val="annotation text"/>
    <w:basedOn w:val="a"/>
    <w:link w:val="Char0"/>
    <w:semiHidden/>
    <w:unhideWhenUsed/>
    <w:qFormat/>
    <w:pPr>
      <w:jc w:val="left"/>
    </w:pPr>
  </w:style>
  <w:style w:type="paragraph" w:styleId="a5">
    <w:name w:val="Balloon Text"/>
    <w:basedOn w:val="a"/>
    <w:link w:val="Char1"/>
    <w:semiHidden/>
    <w:unhideWhenUsed/>
    <w:pPr>
      <w:spacing w:line="240" w:lineRule="auto"/>
    </w:pPr>
    <w:rPr>
      <w:sz w:val="18"/>
      <w:szCs w:val="18"/>
    </w:rPr>
  </w:style>
  <w:style w:type="paragraph" w:styleId="a6">
    <w:name w:val="footer"/>
    <w:basedOn w:val="a"/>
    <w:link w:val="Char2"/>
    <w:pPr>
      <w:tabs>
        <w:tab w:val="center" w:pos="4153"/>
        <w:tab w:val="right" w:pos="8306"/>
      </w:tabs>
      <w:snapToGrid w:val="0"/>
      <w:jc w:val="left"/>
    </w:pPr>
    <w:rPr>
      <w:sz w:val="18"/>
      <w:szCs w:val="18"/>
    </w:rPr>
  </w:style>
  <w:style w:type="paragraph" w:styleId="a7">
    <w:name w:val="header"/>
    <w:basedOn w:val="a"/>
    <w:link w:val="Char3"/>
    <w:pPr>
      <w:pBdr>
        <w:bottom w:val="single" w:sz="6" w:space="1" w:color="auto"/>
      </w:pBdr>
      <w:tabs>
        <w:tab w:val="center" w:pos="4153"/>
        <w:tab w:val="right" w:pos="8306"/>
      </w:tabs>
      <w:snapToGrid w:val="0"/>
      <w:jc w:val="center"/>
    </w:pPr>
    <w:rPr>
      <w:sz w:val="18"/>
      <w:szCs w:val="18"/>
    </w:rPr>
  </w:style>
  <w:style w:type="character" w:styleId="a8">
    <w:name w:val="annotation reference"/>
    <w:semiHidden/>
    <w:unhideWhenUsed/>
    <w:rPr>
      <w:sz w:val="21"/>
      <w:szCs w:val="21"/>
    </w:rPr>
  </w:style>
  <w:style w:type="paragraph" w:customStyle="1" w:styleId="1">
    <w:name w:val="列出段落1"/>
    <w:basedOn w:val="a"/>
    <w:uiPriority w:val="34"/>
    <w:qFormat/>
  </w:style>
  <w:style w:type="character" w:customStyle="1" w:styleId="Char3">
    <w:name w:val="页眉 Char"/>
    <w:link w:val="a7"/>
    <w:rPr>
      <w:rFonts w:ascii="宋体" w:eastAsia="宋体" w:hAnsi="宋体" w:cs="Times New Roman"/>
      <w:sz w:val="18"/>
      <w:szCs w:val="18"/>
    </w:rPr>
  </w:style>
  <w:style w:type="character" w:customStyle="1" w:styleId="Char2">
    <w:name w:val="页脚 Char"/>
    <w:link w:val="a6"/>
    <w:rPr>
      <w:rFonts w:ascii="宋体" w:eastAsia="宋体" w:hAnsi="宋体" w:cs="Times New Roman"/>
      <w:sz w:val="18"/>
      <w:szCs w:val="18"/>
    </w:rPr>
  </w:style>
  <w:style w:type="character" w:customStyle="1" w:styleId="Char0">
    <w:name w:val="批注文字 Char"/>
    <w:link w:val="a4"/>
    <w:semiHidden/>
    <w:rPr>
      <w:rFonts w:ascii="宋体" w:hAnsi="宋体"/>
      <w:kern w:val="2"/>
      <w:sz w:val="21"/>
      <w:szCs w:val="21"/>
    </w:rPr>
  </w:style>
  <w:style w:type="character" w:customStyle="1" w:styleId="Char">
    <w:name w:val="批注主题 Char"/>
    <w:link w:val="a3"/>
    <w:semiHidden/>
    <w:rPr>
      <w:rFonts w:ascii="宋体" w:hAnsi="宋体"/>
      <w:b/>
      <w:bCs/>
      <w:kern w:val="2"/>
      <w:sz w:val="21"/>
      <w:szCs w:val="21"/>
    </w:rPr>
  </w:style>
  <w:style w:type="character" w:customStyle="1" w:styleId="Char1">
    <w:name w:val="批注框文本 Char"/>
    <w:link w:val="a5"/>
    <w:semiHidden/>
    <w:rPr>
      <w:rFonts w:ascii="宋体" w:hAns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Info spid="_x0000_s1044"/>
    <customShpInfo spid="_x0000_s1045"/>
    <customShpInfo spid="_x0000_s1046"/>
    <customShpInfo spid="_x0000_s1047"/>
    <customShpInfo spid="_x0000_s1043"/>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83</Words>
  <Characters>474</Characters>
  <Application>Microsoft Office Word</Application>
  <DocSecurity>0</DocSecurity>
  <Lines>3</Lines>
  <Paragraphs>1</Paragraphs>
  <ScaleCrop>false</ScaleCrop>
  <Company>WHU</Company>
  <LinksUpToDate>false</LinksUpToDate>
  <CharactersWithSpaces>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附件10：</dc:title>
  <dc:creator>lei xiong</dc:creator>
  <cp:lastModifiedBy>张 元骜</cp:lastModifiedBy>
  <cp:revision>11</cp:revision>
  <dcterms:created xsi:type="dcterms:W3CDTF">2015-05-17T15:03:00Z</dcterms:created>
  <dcterms:modified xsi:type="dcterms:W3CDTF">2018-06-06T03:19:00Z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