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/>
        <w:spacing w:before="100" w:beforeAutospacing="1" w:after="100" w:afterAutospacing="1"/>
        <w:jc w:val="center"/>
        <w:outlineLvl w:val="1"/>
        <w:rPr>
          <w:rFonts w:ascii="微软雅黑" w:hAnsi="微软雅黑" w:eastAsia="微软雅黑" w:cs="Arial"/>
          <w:b/>
          <w:bCs/>
          <w:color w:val="000000"/>
          <w:sz w:val="28"/>
          <w:szCs w:val="27"/>
        </w:rPr>
      </w:pPr>
      <w:bookmarkStart w:id="0" w:name="OLE_LINK4"/>
      <w:r>
        <w:rPr>
          <w:rFonts w:hint="eastAsia" w:ascii="微软雅黑" w:hAnsi="微软雅黑" w:eastAsia="微软雅黑" w:cs="Arial"/>
          <w:b/>
          <w:bCs/>
          <w:color w:val="000000"/>
          <w:sz w:val="28"/>
          <w:szCs w:val="27"/>
        </w:rPr>
        <w:t>华为法务部招聘“</w:t>
      </w:r>
      <w:r>
        <w:rPr>
          <w:rFonts w:hint="eastAsia" w:ascii="微软雅黑" w:hAnsi="微软雅黑" w:eastAsia="微软雅黑" w:cs="Arial"/>
          <w:b/>
          <w:bCs/>
          <w:color w:val="FF0000"/>
          <w:sz w:val="40"/>
          <w:szCs w:val="27"/>
        </w:rPr>
        <w:t>法务专员</w:t>
      </w:r>
      <w:r>
        <w:rPr>
          <w:rFonts w:hint="eastAsia" w:ascii="微软雅黑" w:hAnsi="微软雅黑" w:eastAsia="微软雅黑" w:cs="Arial"/>
          <w:b/>
          <w:bCs/>
          <w:color w:val="000000"/>
          <w:sz w:val="28"/>
          <w:szCs w:val="27"/>
        </w:rPr>
        <w:t>”，请2016年硕士应届生提前网申</w:t>
      </w:r>
    </w:p>
    <w:p>
      <w:pPr>
        <w:rPr>
          <w:b/>
        </w:rPr>
      </w:pPr>
      <w:r>
        <w:rPr>
          <w:rFonts w:hint="eastAsia"/>
          <w:b/>
        </w:rPr>
        <w:t>华为</w:t>
      </w:r>
      <w:r>
        <w:rPr>
          <w:b/>
        </w:rPr>
        <w:t>法务部校园招聘相关说明：</w:t>
      </w:r>
    </w:p>
    <w:p>
      <w:pPr>
        <w:pStyle w:val="21"/>
        <w:numPr>
          <w:ilvl w:val="0"/>
          <w:numId w:val="3"/>
        </w:numPr>
        <w:ind w:firstLineChars="0"/>
        <w:rPr>
          <w:color w:val="FF0000"/>
        </w:rPr>
      </w:pPr>
      <w:r>
        <w:rPr>
          <w:rFonts w:hint="eastAsia"/>
          <w:b/>
        </w:rPr>
        <w:t>校园宣讲</w:t>
      </w:r>
      <w:r>
        <w:t>：</w:t>
      </w:r>
      <w:r>
        <w:rPr>
          <w:color w:val="FF0000"/>
        </w:rPr>
        <w:t>宣讲后即</w:t>
      </w:r>
      <w:r>
        <w:rPr>
          <w:rFonts w:hint="eastAsia"/>
          <w:color w:val="FF0000"/>
        </w:rPr>
        <w:t>现场</w:t>
      </w:r>
      <w:r>
        <w:rPr>
          <w:color w:val="FF0000"/>
        </w:rPr>
        <w:t>开始笔试，请</w:t>
      </w:r>
      <w:r>
        <w:rPr>
          <w:rFonts w:hint="eastAsia"/>
          <w:color w:val="FF0000"/>
        </w:rPr>
        <w:t>同学</w:t>
      </w:r>
      <w:r>
        <w:rPr>
          <w:color w:val="FF0000"/>
        </w:rPr>
        <w:t>们带好</w:t>
      </w:r>
      <w:r>
        <w:rPr>
          <w:rFonts w:hint="eastAsia"/>
          <w:color w:val="FF0000"/>
        </w:rPr>
        <w:t>相关文具</w:t>
      </w:r>
      <w:r>
        <w:rPr>
          <w:color w:val="FF0000"/>
        </w:rPr>
        <w:t>参加</w:t>
      </w:r>
      <w:r>
        <w:rPr>
          <w:rFonts w:hint="eastAsia"/>
          <w:color w:val="FF0000"/>
        </w:rPr>
        <w:t>宣讲</w:t>
      </w:r>
      <w:r>
        <w:rPr>
          <w:color w:val="FF0000"/>
        </w:rPr>
        <w:t>会</w:t>
      </w:r>
    </w:p>
    <w:p>
      <w:pPr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宣讲时间：2015年9月16日 9：00</w:t>
      </w:r>
      <w:r>
        <w:rPr>
          <w:color w:val="FF0000"/>
        </w:rPr>
        <w:t>—</w:t>
      </w:r>
      <w:r>
        <w:rPr>
          <w:rFonts w:hint="eastAsia"/>
          <w:color w:val="FF0000"/>
        </w:rPr>
        <w:t>11：00</w:t>
      </w:r>
    </w:p>
    <w:p>
      <w:pPr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宣讲</w:t>
      </w:r>
      <w:r>
        <w:rPr>
          <w:color w:val="FF0000"/>
        </w:rPr>
        <w:t>地点：</w:t>
      </w:r>
      <w:r>
        <w:rPr>
          <w:rFonts w:hint="eastAsia"/>
          <w:color w:val="FF0000"/>
        </w:rPr>
        <w:t>武汉</w:t>
      </w:r>
      <w:r>
        <w:rPr>
          <w:color w:val="FF0000"/>
        </w:rPr>
        <w:t>大学法学院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  <w:lang w:val="en-US" w:eastAsia="zh-CN"/>
        </w:rPr>
        <w:t>1</w:t>
      </w:r>
      <w:bookmarkStart w:id="2" w:name="_GoBack"/>
      <w:bookmarkEnd w:id="2"/>
      <w:r>
        <w:rPr>
          <w:rFonts w:hint="eastAsia"/>
          <w:color w:val="FF0000"/>
        </w:rPr>
        <w:t>教室</w:t>
      </w:r>
    </w:p>
    <w:p>
      <w:pPr>
        <w:pStyle w:val="21"/>
        <w:numPr>
          <w:ilvl w:val="0"/>
          <w:numId w:val="3"/>
        </w:numPr>
        <w:ind w:firstLineChars="0"/>
      </w:pPr>
      <w:r>
        <w:rPr>
          <w:rFonts w:hint="eastAsia"/>
          <w:b/>
        </w:rPr>
        <w:t>酒店面试</w:t>
      </w:r>
      <w:r>
        <w:t>：</w:t>
      </w:r>
    </w:p>
    <w:p>
      <w:pPr>
        <w:ind w:firstLine="420" w:firstLineChars="200"/>
      </w:pPr>
      <w:r>
        <w:t>时间：</w:t>
      </w:r>
      <w:r>
        <w:rPr>
          <w:rFonts w:hint="eastAsia"/>
        </w:rPr>
        <w:t>9月17日</w:t>
      </w:r>
      <w:r>
        <w:t>—</w:t>
      </w:r>
      <w:r>
        <w:rPr>
          <w:rFonts w:hint="eastAsia"/>
        </w:rPr>
        <w:t>18日</w:t>
      </w:r>
    </w:p>
    <w:p>
      <w:pPr>
        <w:ind w:firstLine="420" w:firstLineChars="200"/>
      </w:pPr>
      <w:r>
        <w:rPr>
          <w:rFonts w:hint="eastAsia"/>
        </w:rPr>
        <w:t>地点：</w:t>
      </w:r>
      <w:r>
        <w:t>武汉洪广</w:t>
      </w:r>
      <w:r>
        <w:rPr>
          <w:rFonts w:hint="eastAsia"/>
        </w:rPr>
        <w:t>大</w:t>
      </w:r>
      <w:r>
        <w:t>酒店</w:t>
      </w:r>
      <w:r>
        <w:rPr>
          <w:rFonts w:hint="eastAsia"/>
        </w:rPr>
        <w:t>（</w:t>
      </w:r>
      <w:r>
        <w:rPr>
          <w:rStyle w:val="26"/>
          <w:rFonts w:ascii="Arial" w:hAnsi="Arial" w:cs="Arial"/>
          <w:color w:val="333333"/>
        </w:rPr>
        <w:t>武汉市武昌民主路782号</w:t>
      </w:r>
      <w:r>
        <w:t>）</w:t>
      </w:r>
    </w:p>
    <w:p>
      <w:pPr>
        <w:pStyle w:val="21"/>
        <w:numPr>
          <w:ilvl w:val="0"/>
          <w:numId w:val="3"/>
        </w:numPr>
        <w:ind w:firstLineChars="0"/>
        <w:rPr>
          <w:color w:val="000000"/>
        </w:rPr>
      </w:pPr>
      <w:r>
        <w:rPr>
          <w:rFonts w:hint="eastAsia"/>
          <w:b/>
        </w:rPr>
        <w:t>简历注册</w:t>
      </w:r>
      <w:r>
        <w:rPr>
          <w:b/>
        </w:rPr>
        <w:t>：</w:t>
      </w:r>
      <w:r>
        <w:rPr>
          <w:rFonts w:hint="eastAsia" w:ascii="华文细黑" w:hAnsi="华文细黑" w:eastAsia="华文细黑" w:cs="Arial"/>
          <w:b/>
          <w:color w:val="000000"/>
          <w:sz w:val="24"/>
          <w:szCs w:val="24"/>
        </w:rPr>
        <w:t>华为公司招聘面试采用无纸化IT系统，请各位同学尽快注册登录华为</w:t>
      </w:r>
      <w:bookmarkStart w:id="1" w:name="OLE_LINK1"/>
      <w:r>
        <w:rPr>
          <w:rFonts w:hint="eastAsia" w:ascii="华文细黑" w:hAnsi="华文细黑" w:eastAsia="华文细黑" w:cs="Arial"/>
          <w:b/>
          <w:color w:val="000000"/>
          <w:sz w:val="24"/>
          <w:szCs w:val="24"/>
        </w:rPr>
        <w:t>网站校园招聘主页（</w:t>
      </w:r>
      <w:r>
        <w:fldChar w:fldCharType="begin"/>
      </w:r>
      <w:r>
        <w:instrText xml:space="preserve">HYPERLINK "http://career.huawei.com/" </w:instrText>
      </w:r>
      <w:r>
        <w:fldChar w:fldCharType="separate"/>
      </w:r>
      <w:r>
        <w:rPr>
          <w:rFonts w:ascii="华文细黑" w:hAnsi="华文细黑" w:eastAsia="华文细黑" w:cs="Arial"/>
          <w:b/>
          <w:color w:val="FF0000"/>
          <w:sz w:val="24"/>
          <w:szCs w:val="24"/>
        </w:rPr>
        <w:t>http://career.huawei.com</w:t>
      </w:r>
      <w:r>
        <w:fldChar w:fldCharType="end"/>
      </w:r>
      <w:r>
        <w:rPr>
          <w:rFonts w:hint="eastAsia" w:ascii="华文细黑" w:hAnsi="华文细黑" w:eastAsia="华文细黑" w:cs="Arial"/>
          <w:b/>
          <w:color w:val="000000"/>
          <w:sz w:val="24"/>
          <w:szCs w:val="24"/>
        </w:rPr>
        <w:t>），搜索“</w:t>
      </w:r>
      <w:r>
        <w:rPr>
          <w:rFonts w:hint="eastAsia" w:ascii="华文细黑" w:hAnsi="华文细黑" w:eastAsia="华文细黑" w:cs="Arial"/>
          <w:b/>
          <w:color w:val="FF0000"/>
          <w:sz w:val="24"/>
          <w:szCs w:val="24"/>
        </w:rPr>
        <w:t>法务专员</w:t>
      </w:r>
      <w:r>
        <w:rPr>
          <w:rFonts w:hint="eastAsia" w:ascii="华文细黑" w:hAnsi="华文细黑" w:eastAsia="华文细黑" w:cs="Arial"/>
          <w:b/>
          <w:color w:val="000000"/>
          <w:sz w:val="24"/>
          <w:szCs w:val="24"/>
        </w:rPr>
        <w:t>”职位并提交简历。</w:t>
      </w:r>
      <w:bookmarkEnd w:id="1"/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对于符合条件的同学，我们将主动与您联系并安排面试</w:t>
      </w:r>
    </w:p>
    <w:p>
      <w:pPr>
        <w:pStyle w:val="21"/>
        <w:widowControl/>
        <w:numPr>
          <w:ilvl w:val="0"/>
          <w:numId w:val="4"/>
        </w:numPr>
        <w:wordWrap w:val="0"/>
        <w:adjustRightInd/>
        <w:spacing w:before="100" w:beforeAutospacing="1" w:line="240" w:lineRule="auto"/>
        <w:ind w:firstLineChars="0"/>
        <w:rPr>
          <w:rFonts w:ascii="华文细黑" w:hAnsi="华文细黑" w:eastAsia="华文细黑" w:cs="Arial"/>
          <w:b/>
          <w:color w:val="FF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华为2016年法务部应届生招聘职位：</w:t>
      </w:r>
      <w:r>
        <w:rPr>
          <w:rFonts w:hint="eastAsia" w:ascii="华文细黑" w:hAnsi="华文细黑" w:eastAsia="华文细黑" w:cs="Arial"/>
          <w:b/>
          <w:color w:val="FF0000"/>
          <w:sz w:val="24"/>
          <w:szCs w:val="24"/>
        </w:rPr>
        <w:t>法务专员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ascii="华文细黑" w:hAnsi="华文细黑" w:eastAsia="华文细黑" w:cs="Arial"/>
          <w:color w:val="000000"/>
          <w:sz w:val="24"/>
          <w:szCs w:val="24"/>
        </w:rPr>
        <w:t xml:space="preserve">工作地点： </w:t>
      </w:r>
      <w:r>
        <w:rPr>
          <w:rFonts w:hint="eastAsia" w:ascii="华文细黑" w:hAnsi="华文细黑" w:eastAsia="华文细黑" w:cs="Arial"/>
          <w:b/>
          <w:bCs/>
          <w:color w:val="FF0000"/>
          <w:sz w:val="24"/>
          <w:szCs w:val="24"/>
        </w:rPr>
        <w:t>深圳 或 海外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b/>
          <w:bCs/>
          <w:color w:val="FF0000"/>
          <w:sz w:val="24"/>
          <w:szCs w:val="24"/>
        </w:rPr>
      </w:pPr>
      <w:r>
        <w:rPr>
          <w:rFonts w:ascii="华文细黑" w:hAnsi="华文细黑" w:eastAsia="华文细黑" w:cs="Arial"/>
          <w:b/>
          <w:bCs/>
          <w:color w:val="FF0000"/>
          <w:sz w:val="24"/>
          <w:szCs w:val="24"/>
        </w:rPr>
        <w:t>职责</w:t>
      </w:r>
      <w:r>
        <w:rPr>
          <w:rFonts w:hint="eastAsia" w:ascii="华文细黑" w:hAnsi="华文细黑" w:eastAsia="华文细黑" w:cs="Arial"/>
          <w:b/>
          <w:bCs/>
          <w:color w:val="FF0000"/>
          <w:sz w:val="24"/>
          <w:szCs w:val="24"/>
        </w:rPr>
        <w:t>：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你的到来，将为我们的商业成功再添一道有力的保障！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1、负责处理公司全球（约170个国家）法律事务及欧美发达国家知识产权诉讼和许可谈判业务；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2、负责识别与应对公司在销售、采购、研发、投资、合作等经营活动中的知识产权法律风险；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3、负责与公司全球客户、合作伙伴、竞争对手的业务谈判；（如国际贸易、投融资、资本运作、不动产、国际合作等）；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4、负责在全球建立符合当地法律要求的合规体系（如税务、海关、劳工、反倾销、国际贸易合规、国际贸易壁垒等）；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5、负责建立全球法律外部资源平台，与全球主要律师事务所等法律资源建立业务交往；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6、负责处理全球各类诉讼、仲裁和纠纷（如知识产权诉讼及其他重大法律纠纷、跨国贸易争端的处理）。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现在，我们只能看到你伟岸的身影，更希望能看到智慧的你！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b/>
          <w:bCs/>
          <w:color w:val="FF0000"/>
          <w:sz w:val="24"/>
          <w:szCs w:val="24"/>
        </w:rPr>
      </w:pPr>
      <w:r>
        <w:rPr>
          <w:rFonts w:ascii="华文细黑" w:hAnsi="华文细黑" w:eastAsia="华文细黑" w:cs="Arial"/>
          <w:b/>
          <w:bCs/>
          <w:color w:val="FF0000"/>
          <w:sz w:val="24"/>
          <w:szCs w:val="24"/>
        </w:rPr>
        <w:t>要求</w:t>
      </w:r>
      <w:r>
        <w:rPr>
          <w:rFonts w:hint="eastAsia" w:ascii="华文细黑" w:hAnsi="华文细黑" w:eastAsia="华文细黑" w:cs="Arial"/>
          <w:b/>
          <w:bCs/>
          <w:color w:val="FF0000"/>
          <w:sz w:val="24"/>
          <w:szCs w:val="24"/>
        </w:rPr>
        <w:t>：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1、法学、法律硕士学历，有海外留学经验或通过司法考试优先；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2、英语功底扎实，可以作为工作语言；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3、能适应在全球各地工作； </w:t>
      </w:r>
    </w:p>
    <w:p>
      <w:pPr>
        <w:widowControl/>
        <w:wordWrap w:val="0"/>
        <w:adjustRightInd/>
        <w:spacing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4、具备团队合作、积极主动、坚韧和乐观的精神，沟通和表达能力强。</w:t>
      </w:r>
    </w:p>
    <w:p>
      <w:pPr>
        <w:pStyle w:val="21"/>
        <w:widowControl/>
        <w:numPr>
          <w:ilvl w:val="0"/>
          <w:numId w:val="4"/>
        </w:numPr>
        <w:wordWrap w:val="0"/>
        <w:adjustRightInd/>
        <w:spacing w:before="100" w:beforeAutospacing="1" w:line="240" w:lineRule="auto"/>
        <w:ind w:firstLineChars="0"/>
        <w:rPr>
          <w:rFonts w:ascii="华文细黑" w:hAnsi="华文细黑" w:eastAsia="华文细黑" w:cs="Arial"/>
          <w:b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000000"/>
          <w:sz w:val="24"/>
          <w:szCs w:val="24"/>
        </w:rPr>
        <w:t>华为及华为法务部介绍</w:t>
      </w:r>
    </w:p>
    <w:p>
      <w:pPr>
        <w:widowControl/>
        <w:wordWrap w:val="0"/>
        <w:adjustRightInd/>
        <w:spacing w:before="100" w:beforeAutospacing="1" w:line="240" w:lineRule="auto"/>
        <w:ind w:firstLine="420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作为全球领先的信息与通信解决方案供应商，华为为电信运营商、企业和消费者等提供有竞争力的端到端ICT解决方案和服务，帮助客户在数字社会获得成功。我们坚持聚焦战略，对电信基础网络、云</w:t>
      </w:r>
      <w:r>
        <w:fldChar w:fldCharType="begin"/>
      </w:r>
      <w:r>
        <w:instrText xml:space="preserve">HYPERLINK "http://enterprise.huawei.com/cn/solutions/cloudcomputing/cloud-data-centers/index.htm" \t "_blank" </w:instrText>
      </w:r>
      <w:r>
        <w:fldChar w:fldCharType="separate"/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数据中心</w:t>
      </w:r>
      <w:r>
        <w:fldChar w:fldCharType="end"/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和智能终端等领域持续进行研发投入，以客户需求和前沿技术驱动的创新，使公司始终处于行业前沿，引领行业的发展。我们每年将销售收入的10%以上投入研发，在近17万华为人中，超过45%的员工从事创新、研究与开发。华为在170多个标准组织和开源组织中担任核心职位，已累计获得专利授权38825件。2014年，公司年销售规模达到近2882亿人民币。如今，我们的电信网络设备、IT设备和解决方案以及智能终端已应用于全球170多个国家和地区。 </w:t>
      </w:r>
    </w:p>
    <w:p>
      <w:pPr>
        <w:widowControl/>
        <w:wordWrap w:val="0"/>
        <w:adjustRightInd/>
        <w:spacing w:before="100" w:beforeAutospacing="1" w:line="240" w:lineRule="auto"/>
        <w:ind w:firstLine="420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FF0000"/>
          <w:sz w:val="24"/>
          <w:szCs w:val="24"/>
        </w:rPr>
        <w:t>华为法务部</w:t>
      </w:r>
      <w:r>
        <w:rPr>
          <w:rFonts w:hint="eastAsia" w:ascii="华文细黑" w:hAnsi="华文细黑" w:eastAsia="华文细黑" w:cs="Arial"/>
          <w:b/>
          <w:color w:val="000000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成立于</w:t>
      </w:r>
      <w:r>
        <w:rPr>
          <w:rFonts w:ascii="华文细黑" w:hAnsi="华文细黑" w:eastAsia="华文细黑" w:cs="Arial"/>
          <w:color w:val="000000"/>
          <w:sz w:val="24"/>
          <w:szCs w:val="24"/>
        </w:rPr>
        <w:t>1995</w:t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年，目前有</w:t>
      </w:r>
      <w:r>
        <w:rPr>
          <w:rFonts w:ascii="华文细黑" w:hAnsi="华文细黑" w:eastAsia="华文细黑" w:cs="Arial"/>
          <w:color w:val="000000"/>
          <w:sz w:val="24"/>
          <w:szCs w:val="24"/>
        </w:rPr>
        <w:t>600</w:t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多名员工。华为法务部在全球设立</w:t>
      </w:r>
      <w:r>
        <w:rPr>
          <w:rFonts w:ascii="华文细黑" w:hAnsi="华文细黑" w:eastAsia="华文细黑" w:cs="Arial"/>
          <w:color w:val="000000"/>
          <w:sz w:val="24"/>
          <w:szCs w:val="24"/>
        </w:rPr>
        <w:t>14</w:t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个地区部法务部，面向全球</w:t>
      </w:r>
      <w:r>
        <w:rPr>
          <w:rFonts w:ascii="华文细黑" w:hAnsi="华文细黑" w:eastAsia="华文细黑" w:cs="Arial"/>
          <w:color w:val="000000"/>
          <w:sz w:val="24"/>
          <w:szCs w:val="24"/>
        </w:rPr>
        <w:t>1</w:t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7</w:t>
      </w:r>
      <w:r>
        <w:rPr>
          <w:rFonts w:ascii="华文细黑" w:hAnsi="华文细黑" w:eastAsia="华文细黑" w:cs="Arial"/>
          <w:color w:val="000000"/>
          <w:sz w:val="24"/>
          <w:szCs w:val="24"/>
        </w:rPr>
        <w:t>0</w:t>
      </w: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多个国家和地区开展法律业务，支撑公司全球化经营；在美国、德国、瑞典、北京、上海、深圳、南京等地设立知识产权分部，实现了全球专利布局和知识产权管理。</w:t>
      </w:r>
    </w:p>
    <w:p>
      <w:pPr>
        <w:widowControl/>
        <w:wordWrap w:val="0"/>
        <w:adjustRightInd/>
        <w:spacing w:before="100" w:beforeAutospacing="1" w:line="240" w:lineRule="auto"/>
        <w:ind w:firstLine="420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 xml:space="preserve">我们诚邀拥有梦想并锐意进取的您，加入华为大家庭在全球舞台上激扬无悔的青春，激发潜能，成就团队，成就自我！ </w:t>
      </w:r>
    </w:p>
    <w:p>
      <w:pPr>
        <w:widowControl/>
        <w:wordWrap w:val="0"/>
        <w:adjustRightInd/>
        <w:spacing w:before="100" w:beforeAutospacing="1" w:line="240" w:lineRule="auto"/>
        <w:ind w:firstLine="420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ascii="微软雅黑" w:hAnsi="微软雅黑" w:eastAsia="微软雅黑" w:cs="Arial"/>
          <w:snapToGrid w:val="0"/>
          <w:color w:val="000000"/>
          <w:sz w:val="21"/>
          <w:szCs w:val="21"/>
          <w:lang w:val="en-US" w:eastAsia="zh-CN" w:bidi="ar-SA"/>
        </w:rPr>
        <w:pict>
          <v:shape id="图片 1" o:spid="_x0000_s1027" type="#_x0000_t75" style="height:236.6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wordWrap w:val="0"/>
        <w:adjustRightInd/>
        <w:spacing w:before="100" w:beforeAutospacing="1"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color w:val="000000"/>
          <w:sz w:val="24"/>
          <w:szCs w:val="24"/>
        </w:rPr>
        <w:t>想了解更多华为法务部信息，请关注“华为法务招聘”微信公众号~</w:t>
      </w:r>
    </w:p>
    <w:p>
      <w:pPr>
        <w:widowControl/>
        <w:wordWrap w:val="0"/>
        <w:adjustRightInd/>
        <w:spacing w:before="100" w:beforeAutospacing="1" w:line="240" w:lineRule="auto"/>
        <w:rPr>
          <w:rFonts w:ascii="华文细黑" w:hAnsi="华文细黑" w:eastAsia="华文细黑" w:cs="Arial"/>
          <w:color w:val="000000"/>
          <w:sz w:val="24"/>
          <w:szCs w:val="24"/>
        </w:rPr>
      </w:pPr>
      <w:r>
        <w:rPr>
          <w:rFonts w:hint="eastAsia" w:ascii="华文细黑" w:hAnsi="华文细黑" w:eastAsia="华文细黑" w:cs="Arial"/>
          <w:snapToGrid w:val="0"/>
          <w:color w:val="000000"/>
          <w:sz w:val="24"/>
          <w:szCs w:val="24"/>
          <w:lang w:val="en-US" w:eastAsia="zh-CN" w:bidi="ar-SA"/>
        </w:rPr>
        <w:pict>
          <v:shape id="图片 1" o:spid="_x0000_s1028" type="#_x0000_t75" style="height:198.45pt;width:198.6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bookmarkEnd w:id="0"/>
    <w:p>
      <w:pPr>
        <w:widowControl/>
        <w:wordWrap w:val="0"/>
        <w:adjustRightInd/>
        <w:spacing w:before="100" w:beforeAutospacing="1" w:after="150" w:line="330" w:lineRule="atLeast"/>
        <w:ind w:left="-283" w:leftChars="-135"/>
        <w:rPr>
          <w:rFonts w:ascii="微软雅黑" w:hAnsi="微软雅黑" w:eastAsia="微软雅黑" w:cs="Arial"/>
          <w:color w:val="000000"/>
        </w:rPr>
      </w:pPr>
    </w:p>
    <w:sectPr>
      <w:headerReference r:id="rId6" w:type="first"/>
      <w:footerReference r:id="rId8" w:type="first"/>
      <w:headerReference r:id="rId4" w:type="default"/>
      <w:headerReference r:id="rId5" w:type="even"/>
      <w:footerReference r:id="rId7" w:type="even"/>
      <w:pgSz w:w="11906" w:h="16838"/>
      <w:pgMar w:top="1312" w:right="1800" w:bottom="1440" w:left="1800" w:header="779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"/>
      <w:tblW w:w="842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842"/>
      <w:gridCol w:w="5894"/>
      <w:gridCol w:w="168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Ex>
      <w:trPr>
        <w:cantSplit/>
        <w:trHeight w:val="782" w:hRule="exact"/>
      </w:trPr>
      <w:tc>
        <w:tcPr>
          <w:tcW w:w="842" w:type="dxa"/>
          <w:vAlign w:val="top"/>
        </w:tcPr>
        <w:p>
          <w:pPr>
            <w:pStyle w:val="15"/>
            <w:rPr>
              <w:rFonts w:ascii="Dotum" w:hAnsi="Dotum" w:eastAsia="Dotum"/>
            </w:rPr>
          </w:pPr>
          <w:r>
            <w:rPr>
              <w:rFonts w:ascii="Dotum" w:hAnsi="Dotum" w:eastAsia="Dotum" w:cs="Times New Roman"/>
              <w:snapToGrid w:val="0"/>
              <w:sz w:val="21"/>
              <w:szCs w:val="21"/>
              <w:lang w:val="en-US" w:eastAsia="zh-CN" w:bidi="ar-SA"/>
            </w:rPr>
            <w:pict>
              <v:shape id="图片 1" o:spid="_x0000_s1025" type="#_x0000_t75" style="height:33pt;width:33pt;rotation:0f;" o:ole="f" fillcolor="#FFFFFF" filled="f" o:preferrelative="t" stroked="f" coordorigin="0,0" coordsize="21600,21600">
                <v:fill on="f" color2="#FFFFFF" focus="0%"/>
                <v:imagedata gain="65536f" blacklevel="0f" gamma="0" o:title="" r:id="rId1"/>
                <o:lock v:ext="edit" position="f" selection="f" grouping="f" rotation="f" cropping="f" text="f" aspectratio="t"/>
                <w10:wrap type="none"/>
                <w10:anchorlock/>
              </v:shape>
            </w:pict>
          </w:r>
        </w:p>
        <w:p>
          <w:pPr>
            <w:rPr>
              <w:rFonts w:ascii="Dotum" w:hAnsi="Dotum" w:eastAsia="Dotum"/>
            </w:rPr>
          </w:pPr>
        </w:p>
      </w:tc>
      <w:tc>
        <w:tcPr>
          <w:tcW w:w="5894" w:type="dxa"/>
          <w:vAlign w:val="bottom"/>
        </w:tcPr>
        <w:p>
          <w:pPr>
            <w:pStyle w:val="7"/>
            <w:ind w:firstLine="360"/>
            <w:rPr>
              <w:rFonts w:ascii="Dotum" w:hAnsi="Dotum" w:eastAsia="宋体"/>
            </w:rPr>
          </w:pPr>
        </w:p>
      </w:tc>
      <w:tc>
        <w:tcPr>
          <w:tcW w:w="1684" w:type="dxa"/>
          <w:vAlign w:val="bottom"/>
        </w:tcPr>
        <w:p>
          <w:pPr>
            <w:pStyle w:val="7"/>
            <w:ind w:firstLine="360"/>
            <w:rPr>
              <w:rFonts w:ascii="Dotum" w:hAnsi="Dotum" w:eastAsia="宋体"/>
            </w:rPr>
          </w:pPr>
        </w:p>
      </w:tc>
    </w:tr>
  </w:tbl>
  <w:p>
    <w:pPr>
      <w:pStyle w:val="7"/>
      <w:rPr>
        <w:rFonts w:ascii="DotumChe" w:hAnsi="DotumChe"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3964682">
    <w:nsid w:val="42FE570A"/>
    <w:multiLevelType w:val="multilevel"/>
    <w:tmpl w:val="42FE570A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14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11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346324423">
    <w:nsid w:val="14A47DC7"/>
    <w:multiLevelType w:val="multilevel"/>
    <w:tmpl w:val="14A47DC7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color w:va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66475049">
    <w:nsid w:val="63546429"/>
    <w:multiLevelType w:val="multilevel"/>
    <w:tmpl w:val="63546429"/>
    <w:lvl w:ilvl="0" w:tentative="1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03537831">
    <w:nsid w:val="23F941A7"/>
    <w:multiLevelType w:val="multilevel"/>
    <w:tmpl w:val="23F941A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666475049"/>
  </w:num>
  <w:num w:numId="2">
    <w:abstractNumId w:val="1123964682"/>
  </w:num>
  <w:num w:numId="3">
    <w:abstractNumId w:val="346324423"/>
  </w:num>
  <w:num w:numId="4">
    <w:abstractNumId w:val="6035378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78B1"/>
    <w:rsid w:val="0001162B"/>
    <w:rsid w:val="000124F9"/>
    <w:rsid w:val="000603AE"/>
    <w:rsid w:val="00081518"/>
    <w:rsid w:val="000A2CB6"/>
    <w:rsid w:val="000D005A"/>
    <w:rsid w:val="000D3EA0"/>
    <w:rsid w:val="000D6200"/>
    <w:rsid w:val="00121175"/>
    <w:rsid w:val="00132E3C"/>
    <w:rsid w:val="0019460B"/>
    <w:rsid w:val="001A1420"/>
    <w:rsid w:val="001F4D3F"/>
    <w:rsid w:val="00274B32"/>
    <w:rsid w:val="002A2A38"/>
    <w:rsid w:val="002F6C23"/>
    <w:rsid w:val="00307B47"/>
    <w:rsid w:val="0034707E"/>
    <w:rsid w:val="003A63FA"/>
    <w:rsid w:val="003B66E2"/>
    <w:rsid w:val="003D28F6"/>
    <w:rsid w:val="00434B8D"/>
    <w:rsid w:val="004371D6"/>
    <w:rsid w:val="00445466"/>
    <w:rsid w:val="00464C76"/>
    <w:rsid w:val="00477116"/>
    <w:rsid w:val="00483F5C"/>
    <w:rsid w:val="0049055B"/>
    <w:rsid w:val="004C32C5"/>
    <w:rsid w:val="004D37CD"/>
    <w:rsid w:val="005135B8"/>
    <w:rsid w:val="005238B4"/>
    <w:rsid w:val="0053214F"/>
    <w:rsid w:val="00545DCF"/>
    <w:rsid w:val="0058371D"/>
    <w:rsid w:val="00585FB5"/>
    <w:rsid w:val="005912F0"/>
    <w:rsid w:val="00656A6B"/>
    <w:rsid w:val="006C40E2"/>
    <w:rsid w:val="0073646B"/>
    <w:rsid w:val="00771650"/>
    <w:rsid w:val="007841A0"/>
    <w:rsid w:val="007C05DC"/>
    <w:rsid w:val="00815816"/>
    <w:rsid w:val="0084013B"/>
    <w:rsid w:val="008412C0"/>
    <w:rsid w:val="0085034F"/>
    <w:rsid w:val="00890DE8"/>
    <w:rsid w:val="00994E5C"/>
    <w:rsid w:val="009C013A"/>
    <w:rsid w:val="009F41BA"/>
    <w:rsid w:val="00A247B1"/>
    <w:rsid w:val="00A90DA0"/>
    <w:rsid w:val="00AB02CF"/>
    <w:rsid w:val="00AC1D9C"/>
    <w:rsid w:val="00B4578E"/>
    <w:rsid w:val="00B60ED0"/>
    <w:rsid w:val="00B644F5"/>
    <w:rsid w:val="00B7439F"/>
    <w:rsid w:val="00B83EAF"/>
    <w:rsid w:val="00BA4E8F"/>
    <w:rsid w:val="00BD2F81"/>
    <w:rsid w:val="00C26E10"/>
    <w:rsid w:val="00C30B9A"/>
    <w:rsid w:val="00CA458C"/>
    <w:rsid w:val="00CD2E4D"/>
    <w:rsid w:val="00D20DC8"/>
    <w:rsid w:val="00D27E65"/>
    <w:rsid w:val="00D45842"/>
    <w:rsid w:val="00D63FF2"/>
    <w:rsid w:val="00DB3DD6"/>
    <w:rsid w:val="00DB70EC"/>
    <w:rsid w:val="00E6072B"/>
    <w:rsid w:val="00EC0F9C"/>
    <w:rsid w:val="00F062A0"/>
    <w:rsid w:val="00F270C7"/>
    <w:rsid w:val="00F41BF8"/>
    <w:rsid w:val="00F44F05"/>
    <w:rsid w:val="00F53291"/>
    <w:rsid w:val="00FC31A8"/>
    <w:rsid w:val="00FC6604"/>
    <w:rsid w:val="00FD78B1"/>
    <w:rsid w:val="27984C17"/>
    <w:rsid w:val="6A164B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link w:val="25"/>
    <w:qFormat/>
    <w:uiPriority w:val="9"/>
    <w:pPr>
      <w:keepNext/>
      <w:numPr>
        <w:ilvl w:val="1"/>
        <w:numId w:val="1"/>
      </w:numPr>
      <w:tabs>
        <w:tab w:val="left" w:pos="432"/>
      </w:tabs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432"/>
      </w:tabs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alloon Text"/>
    <w:basedOn w:val="1"/>
    <w:link w:val="24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7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table" w:styleId="10">
    <w:name w:val="Table Grid"/>
    <w:basedOn w:val="9"/>
    <w:uiPriority w:val="0"/>
    <w:pPr>
      <w:widowControl w:val="0"/>
      <w:autoSpaceDE w:val="0"/>
      <w:autoSpaceDN w:val="0"/>
      <w:adjustRightInd w:val="0"/>
      <w:spacing w:line="360" w:lineRule="auto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2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3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paragraph" w:customStyle="1" w:styleId="14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5">
    <w:name w:val="图样式"/>
    <w:basedOn w:val="1"/>
    <w:uiPriority w:val="0"/>
    <w:pPr>
      <w:keepNext/>
      <w:widowControl/>
      <w:spacing w:before="80" w:after="80"/>
      <w:jc w:val="center"/>
    </w:pPr>
  </w:style>
  <w:style w:type="paragraph" w:customStyle="1" w:styleId="16">
    <w:name w:val="文档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17">
    <w:name w:val="正文（首行不缩进）"/>
    <w:basedOn w:val="1"/>
    <w:uiPriority w:val="0"/>
  </w:style>
  <w:style w:type="paragraph" w:customStyle="1" w:styleId="18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19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0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样式一"/>
    <w:basedOn w:val="8"/>
    <w:uiPriority w:val="0"/>
    <w:rPr>
      <w:rFonts w:ascii="宋体" w:hAnsi="宋体"/>
      <w:b/>
      <w:bCs/>
      <w:color w:val="000000"/>
      <w:sz w:val="36"/>
    </w:rPr>
  </w:style>
  <w:style w:type="character" w:customStyle="1" w:styleId="23">
    <w:name w:val="样式二"/>
    <w:basedOn w:val="22"/>
    <w:uiPriority w:val="0"/>
    <w:rPr>
      <w:rFonts w:ascii="宋体" w:hAnsi="宋体"/>
      <w:color w:val="000000"/>
      <w:sz w:val="36"/>
    </w:rPr>
  </w:style>
  <w:style w:type="character" w:customStyle="1" w:styleId="24">
    <w:name w:val="批注框文本 Char"/>
    <w:basedOn w:val="8"/>
    <w:link w:val="5"/>
    <w:uiPriority w:val="0"/>
    <w:rPr>
      <w:snapToGrid w:val="0"/>
      <w:sz w:val="18"/>
      <w:szCs w:val="18"/>
    </w:rPr>
  </w:style>
  <w:style w:type="character" w:customStyle="1" w:styleId="25">
    <w:name w:val="标题 2 Char"/>
    <w:basedOn w:val="8"/>
    <w:link w:val="3"/>
    <w:uiPriority w:val="9"/>
    <w:rPr>
      <w:rFonts w:ascii="Arial" w:hAnsi="Arial" w:eastAsia="黑体"/>
      <w:sz w:val="24"/>
      <w:szCs w:val="24"/>
    </w:rPr>
  </w:style>
  <w:style w:type="character" w:customStyle="1" w:styleId="26">
    <w:name w:val="op-map-singlepoint-info-right"/>
    <w:basedOn w:val="8"/>
    <w:uiPriority w:val="0"/>
    <w:rPr/>
  </w:style>
  <w:style w:type="table" w:customStyle="1" w:styleId="27">
    <w:name w:val="表样式"/>
    <w:basedOn w:val="9"/>
    <w:uiPriority w:val="0"/>
    <w:pPr>
      <w:jc w:val="both"/>
    </w:pPr>
    <w:rPr>
      <w:sz w:val="18"/>
      <w:szCs w:val="18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shd w:val="clear" w:color="auto" w:fill="auto"/>
      <w:textDirection w:val="lrTb"/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4</Pages>
  <Words>217</Words>
  <Characters>1239</Characters>
  <Lines>10</Lines>
  <Paragraphs>2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2015-08-28T08:57:00Z</dcterms:created>
  <dc:creator>Zhoujie (Jie, LAD&amp;HR)</dc:creator>
  <cp:lastModifiedBy>Administrator</cp:lastModifiedBy>
  <dcterms:modified xsi:type="dcterms:W3CDTF">2015-09-10T08:22:40Z</dcterms:modified>
  <dc:title>华为法务部招聘“法务专员”，请2016年硕士应届生提前网申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new_ms_pID_72543">
    <vt:lpwstr>(4)SiPhL+Fdu/0aB5kDYwTPSnfVDV2xmWJzhz7x7UrxAoLJilTCjBtE6HLSmH0R5qKWNLb0UaYS
a2NQUhPhfJBZl5YBbRXHpr9f3iUJGwxQlmwvmAKdEWQLg8RdZEl8mgAiFo996b/Se6T5Kr+W
ZYBnXPj/nMVWFSPCu4YwQwOzoRAEHbRUsLYb+xfzxHyevITj8XgZl64jBVKnYPSnmcaismwh
WAt0tTGrjOrGeuXTm9</vt:lpwstr>
  </property>
  <property fmtid="{D5CDD505-2E9C-101B-9397-08002B2CF9AE}" pid="7" name="_new_ms_pID_725431">
    <vt:lpwstr>4+WzLNGUgdD09pLz/gn4O6gS0uAek35Q4BS41g8k82a41YoCqx2NR2
9FFd4NtHjba26xATad/e5WFw6whe7gcRA3on8ggzyUWGegzQpbXrw1Avq1/B138o7rqStZ0R
ofBBYAX8AlLkJl3ggKoxbXVBpsZFoqCMefk06uOh8kkfuwrt76HqPTvWmqAP4UGtkghY+HfP
f4ttX3+WHroqbnZx8iqs0OVXfoFpKdH9yrPF</vt:lpwstr>
  </property>
  <property fmtid="{D5CDD505-2E9C-101B-9397-08002B2CF9AE}" pid="8" name="_new_ms_pID_725432">
    <vt:lpwstr>dbFnyaZC9EAwM6VI46fsbFlqeC10gThvinof
7JrGmpxMw2mXRIvrlJIlpwhYrJqNn17QynISRGKAphLJArc5LeDDUCj0Bq7+MXgmoD7FxC1d
cz03UvfECdyOESM/5ZggATvqyE8jjLOjPzr3G0LGuULTwFgQLtX3SaaF5gExP4qJYg265I9e
zi+It6JHK+DYSNZZfuwFhI3As8K7qUhwp+65LYrHTBJyDcWYZs4NsY</vt:lpwstr>
  </property>
  <property fmtid="{D5CDD505-2E9C-101B-9397-08002B2CF9AE}" pid="9" name="_new_ms_pID_725433">
    <vt:lpwstr>cjD/kMEVr3yXTlywFB
9HBP7lROf3tTwqsL3I3CENv6YW/NCRwpfi7YCMuuzX7KDdtvRveFwkD21tNMinLJnL7qnTYm
y3aK5rwjGqhTaH6kXdU=</vt:lpwstr>
  </property>
  <property fmtid="{D5CDD505-2E9C-101B-9397-08002B2CF9AE}" pid="10" name="sflag">
    <vt:lpwstr>1440752072</vt:lpwstr>
  </property>
  <property fmtid="{D5CDD505-2E9C-101B-9397-08002B2CF9AE}" pid="11" name="KSOProductBuildVer">
    <vt:lpwstr>2052-9.1.0.5218</vt:lpwstr>
  </property>
</Properties>
</file>