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/>
        <w:spacing w:before="100" w:beforeAutospacing="1" w:after="100" w:afterAutospacing="1"/>
        <w:jc w:val="center"/>
        <w:outlineLvl w:val="1"/>
        <w:rPr>
          <w:rFonts w:ascii="微软雅黑" w:hAnsi="微软雅黑" w:eastAsia="微软雅黑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Arial"/>
          <w:b/>
          <w:bCs/>
          <w:color w:val="000000"/>
          <w:sz w:val="27"/>
          <w:szCs w:val="27"/>
        </w:rPr>
        <w:t>华为2015年应届毕业生招聘 之 华为法务部招聘</w:t>
      </w:r>
    </w:p>
    <w:p>
      <w:pPr>
        <w:widowControl/>
        <w:adjustRightInd/>
        <w:spacing w:before="100" w:beforeAutospacing="1" w:after="100" w:afterAutospacing="1"/>
        <w:jc w:val="center"/>
        <w:outlineLvl w:val="1"/>
        <w:rPr>
          <w:rFonts w:ascii="微软雅黑" w:hAnsi="微软雅黑" w:eastAsia="微软雅黑" w:cs="Arial"/>
          <w:b/>
          <w:bCs/>
          <w:color w:val="000000"/>
          <w:sz w:val="27"/>
          <w:szCs w:val="27"/>
        </w:rPr>
      </w:pPr>
      <w:r>
        <w:rPr>
          <w:rFonts w:hint="eastAsia" w:ascii="微软雅黑" w:hAnsi="微软雅黑" w:eastAsia="微软雅黑" w:cs="Arial"/>
          <w:b/>
          <w:bCs/>
          <w:color w:val="000000"/>
          <w:sz w:val="27"/>
          <w:szCs w:val="27"/>
        </w:rPr>
        <w:t>“</w:t>
      </w:r>
      <w:r>
        <w:rPr>
          <w:rFonts w:hint="eastAsia" w:ascii="微软雅黑" w:hAnsi="微软雅黑" w:eastAsia="微软雅黑" w:cs="Arial"/>
          <w:b/>
          <w:bCs/>
          <w:color w:val="FF0000"/>
          <w:sz w:val="36"/>
          <w:szCs w:val="27"/>
        </w:rPr>
        <w:t>涉外律师</w:t>
      </w:r>
      <w:r>
        <w:rPr>
          <w:rFonts w:hint="eastAsia" w:ascii="微软雅黑" w:hAnsi="微软雅黑" w:eastAsia="微软雅黑" w:cs="Arial"/>
          <w:b/>
          <w:bCs/>
          <w:color w:val="000000"/>
          <w:sz w:val="27"/>
          <w:szCs w:val="27"/>
        </w:rPr>
        <w:t>”等你来挑战</w:t>
      </w:r>
    </w:p>
    <w:p>
      <w:pPr>
        <w:widowControl/>
        <w:wordWrap w:val="0"/>
        <w:adjustRightInd/>
        <w:spacing w:line="240" w:lineRule="auto"/>
        <w:ind w:firstLine="420"/>
        <w:rPr>
          <w:rFonts w:ascii="仿宋" w:hAnsi="仿宋" w:eastAsia="仿宋" w:cs="Arial"/>
          <w:color w:val="000000"/>
          <w:sz w:val="22"/>
        </w:rPr>
      </w:pPr>
      <w:r>
        <w:rPr>
          <w:rFonts w:hint="eastAsia" w:ascii="仿宋" w:hAnsi="仿宋" w:eastAsia="仿宋" w:cs="Arial"/>
          <w:color w:val="000000"/>
          <w:sz w:val="22"/>
        </w:rPr>
        <w:t xml:space="preserve">华为是全球领先的信息与通信解决方案供应商。我们围绕客户需求持续创新，与合作伙伴开放合作，在电信网络、企业网络、消费者和云计算等领域构筑了端到端的解决方案优势。我们致力于为电信运营商、企业和消费者等提供具有竞争力的 ICT 解决方案和服务，持续提升客户体验，为客户创造最大价值。2013年，华为销售收入2,390.25亿元人民币，同比增长8.5%，净利润210.03亿元人民币，同比增长34.4%。华为员工总数约15万。 </w:t>
      </w:r>
    </w:p>
    <w:p>
      <w:pPr>
        <w:widowControl/>
        <w:wordWrap w:val="0"/>
        <w:adjustRightInd/>
        <w:spacing w:before="100" w:beforeAutospacing="1" w:after="150" w:line="330" w:lineRule="atLeast"/>
        <w:ind w:firstLine="420"/>
        <w:rPr>
          <w:rFonts w:ascii="仿宋" w:hAnsi="仿宋" w:eastAsia="仿宋" w:cs="Arial"/>
          <w:color w:val="000000"/>
          <w:sz w:val="22"/>
        </w:rPr>
      </w:pPr>
      <w:r>
        <w:rPr>
          <w:rFonts w:hint="eastAsia" w:ascii="仿宋" w:hAnsi="仿宋" w:eastAsia="仿宋" w:cs="Arial"/>
          <w:b/>
          <w:color w:val="FF0000"/>
          <w:sz w:val="28"/>
        </w:rPr>
        <w:t>华为法务部</w:t>
      </w:r>
      <w:r>
        <w:rPr>
          <w:rFonts w:hint="eastAsia" w:ascii="仿宋" w:hAnsi="仿宋" w:eastAsia="仿宋" w:cs="Arial"/>
          <w:b/>
          <w:color w:val="000000"/>
          <w:sz w:val="28"/>
        </w:rPr>
        <w:t xml:space="preserve"> </w:t>
      </w:r>
      <w:r>
        <w:rPr>
          <w:rFonts w:hint="eastAsia" w:ascii="仿宋" w:hAnsi="仿宋" w:eastAsia="仿宋" w:cs="Arial"/>
          <w:color w:val="000000"/>
          <w:sz w:val="22"/>
        </w:rPr>
        <w:t>成立于</w:t>
      </w:r>
      <w:r>
        <w:rPr>
          <w:rFonts w:ascii="仿宋" w:hAnsi="仿宋" w:eastAsia="仿宋" w:cs="Arial"/>
          <w:color w:val="000000"/>
          <w:sz w:val="22"/>
        </w:rPr>
        <w:t>1995</w:t>
      </w:r>
      <w:r>
        <w:rPr>
          <w:rFonts w:hint="eastAsia" w:ascii="仿宋" w:hAnsi="仿宋" w:eastAsia="仿宋" w:cs="Arial"/>
          <w:color w:val="000000"/>
          <w:sz w:val="22"/>
        </w:rPr>
        <w:t>年，目前有</w:t>
      </w:r>
      <w:r>
        <w:rPr>
          <w:rFonts w:ascii="仿宋" w:hAnsi="仿宋" w:eastAsia="仿宋" w:cs="Arial"/>
          <w:color w:val="000000"/>
          <w:sz w:val="22"/>
        </w:rPr>
        <w:t>600</w:t>
      </w:r>
      <w:r>
        <w:rPr>
          <w:rFonts w:hint="eastAsia" w:ascii="仿宋" w:hAnsi="仿宋" w:eastAsia="仿宋" w:cs="Arial"/>
          <w:color w:val="000000"/>
          <w:sz w:val="22"/>
        </w:rPr>
        <w:t>多名员工。华为法务部在全球设立</w:t>
      </w:r>
      <w:r>
        <w:rPr>
          <w:rFonts w:ascii="仿宋" w:hAnsi="仿宋" w:eastAsia="仿宋" w:cs="Arial"/>
          <w:color w:val="000000"/>
          <w:sz w:val="22"/>
        </w:rPr>
        <w:t>14</w:t>
      </w:r>
      <w:r>
        <w:rPr>
          <w:rFonts w:hint="eastAsia" w:ascii="仿宋" w:hAnsi="仿宋" w:eastAsia="仿宋" w:cs="Arial"/>
          <w:color w:val="000000"/>
          <w:sz w:val="22"/>
        </w:rPr>
        <w:t>个地区部法务部，面向全球</w:t>
      </w:r>
      <w:r>
        <w:rPr>
          <w:rFonts w:ascii="仿宋" w:hAnsi="仿宋" w:eastAsia="仿宋" w:cs="Arial"/>
          <w:color w:val="000000"/>
          <w:sz w:val="22"/>
        </w:rPr>
        <w:t>1</w:t>
      </w:r>
      <w:r>
        <w:rPr>
          <w:rFonts w:hint="eastAsia" w:ascii="仿宋" w:hAnsi="仿宋" w:eastAsia="仿宋" w:cs="Arial"/>
          <w:color w:val="000000"/>
          <w:sz w:val="22"/>
        </w:rPr>
        <w:t>7</w:t>
      </w:r>
      <w:r>
        <w:rPr>
          <w:rFonts w:ascii="仿宋" w:hAnsi="仿宋" w:eastAsia="仿宋" w:cs="Arial"/>
          <w:color w:val="000000"/>
          <w:sz w:val="22"/>
        </w:rPr>
        <w:t>0</w:t>
      </w:r>
      <w:r>
        <w:rPr>
          <w:rFonts w:hint="eastAsia" w:ascii="仿宋" w:hAnsi="仿宋" w:eastAsia="仿宋" w:cs="Arial"/>
          <w:color w:val="000000"/>
          <w:sz w:val="22"/>
        </w:rPr>
        <w:t>多个国家和地区开展法律业务，支撑公司全球化经营；在美国、德国、瑞典、北京、上海、深圳、南京等地设立知识产权分部，实现了全球专利布局和知识产权管理。</w:t>
      </w:r>
    </w:p>
    <w:p>
      <w:pPr>
        <w:widowControl/>
        <w:wordWrap w:val="0"/>
        <w:adjustRightInd/>
        <w:spacing w:before="100" w:beforeAutospacing="1" w:after="150" w:line="330" w:lineRule="atLeast"/>
        <w:ind w:firstLine="420"/>
        <w:rPr>
          <w:rFonts w:ascii="仿宋" w:hAnsi="仿宋" w:eastAsia="仿宋" w:cs="Arial"/>
          <w:color w:val="000000"/>
          <w:sz w:val="22"/>
        </w:rPr>
      </w:pPr>
      <w:r>
        <w:rPr>
          <w:rFonts w:hint="eastAsia" w:ascii="仿宋" w:hAnsi="仿宋" w:eastAsia="仿宋" w:cs="Arial"/>
          <w:color w:val="000000"/>
          <w:sz w:val="22"/>
        </w:rPr>
        <w:t xml:space="preserve">加入华为，大有可为！我们诚邀拥有梦想并锐意进取的您，加入华为法务部，在全球舞台上激扬无悔的青春，激发潜能，成就团队，成就自我！ </w:t>
      </w:r>
    </w:p>
    <w:p>
      <w:pPr>
        <w:pStyle w:val="19"/>
        <w:widowControl/>
        <w:wordWrap w:val="0"/>
        <w:adjustRightInd/>
        <w:spacing w:before="100" w:beforeAutospacing="1" w:after="150" w:line="330" w:lineRule="atLeast"/>
        <w:ind w:left="420" w:firstLine="0" w:firstLineChars="0"/>
        <w:rPr>
          <w:rFonts w:ascii="仿宋" w:hAnsi="仿宋" w:eastAsia="仿宋" w:cs="Arial"/>
          <w:b/>
          <w:color w:val="FF0000"/>
          <w:sz w:val="22"/>
        </w:rPr>
      </w:pPr>
      <w:r>
        <w:rPr>
          <w:rFonts w:hint="eastAsia" w:ascii="仿宋" w:hAnsi="仿宋" w:eastAsia="仿宋" w:cs="Arial"/>
          <w:color w:val="000000"/>
          <w:sz w:val="22"/>
        </w:rPr>
        <w:t xml:space="preserve">华为2015年法务部应届生招聘职位： </w:t>
      </w:r>
      <w:r>
        <w:rPr>
          <w:rFonts w:hint="eastAsia" w:ascii="仿宋" w:hAnsi="仿宋" w:eastAsia="仿宋" w:cs="Arial"/>
          <w:b/>
          <w:color w:val="FF0000"/>
          <w:sz w:val="22"/>
        </w:rPr>
        <w:t>涉外律师（法务专员）</w:t>
      </w:r>
    </w:p>
    <w:p>
      <w:pPr>
        <w:widowControl/>
        <w:wordWrap w:val="0"/>
        <w:adjustRightInd/>
        <w:spacing w:line="240" w:lineRule="auto"/>
        <w:rPr>
          <w:rFonts w:ascii="仿宋" w:hAnsi="仿宋" w:eastAsia="仿宋" w:cs="Arial"/>
          <w:color w:val="000000"/>
          <w:sz w:val="22"/>
        </w:rPr>
      </w:pPr>
      <w:r>
        <w:rPr>
          <w:rFonts w:ascii="仿宋" w:hAnsi="仿宋" w:eastAsia="仿宋" w:cs="Arial"/>
          <w:color w:val="000000"/>
          <w:sz w:val="22"/>
        </w:rPr>
        <w:t xml:space="preserve">工作地点： </w:t>
      </w:r>
      <w:r>
        <w:rPr>
          <w:rFonts w:ascii="仿宋" w:hAnsi="仿宋" w:eastAsia="仿宋" w:cs="Arial"/>
          <w:b/>
          <w:bCs/>
          <w:color w:val="FF0000"/>
          <w:sz w:val="22"/>
        </w:rPr>
        <w:t>中国</w:t>
      </w:r>
      <w:r>
        <w:rPr>
          <w:rFonts w:hint="eastAsia" w:ascii="仿宋" w:hAnsi="仿宋" w:eastAsia="仿宋" w:cs="Arial"/>
          <w:b/>
          <w:bCs/>
          <w:color w:val="FF0000"/>
          <w:sz w:val="22"/>
        </w:rPr>
        <w:t xml:space="preserve"> 或 海外</w:t>
      </w:r>
    </w:p>
    <w:p>
      <w:pPr>
        <w:widowControl/>
        <w:wordWrap w:val="0"/>
        <w:adjustRightInd/>
        <w:spacing w:line="240" w:lineRule="auto"/>
        <w:rPr>
          <w:rFonts w:ascii="仿宋" w:hAnsi="仿宋" w:eastAsia="仿宋" w:cs="Arial"/>
          <w:b/>
          <w:bCs/>
          <w:color w:val="FF0000"/>
          <w:sz w:val="22"/>
        </w:rPr>
      </w:pPr>
      <w:r>
        <w:rPr>
          <w:rFonts w:ascii="仿宋" w:hAnsi="仿宋" w:eastAsia="仿宋" w:cs="Arial"/>
          <w:b/>
          <w:bCs/>
          <w:color w:val="FF0000"/>
          <w:sz w:val="22"/>
        </w:rPr>
        <w:t>主要职责</w:t>
      </w:r>
    </w:p>
    <w:p>
      <w:pPr>
        <w:widowControl/>
        <w:wordWrap w:val="0"/>
        <w:adjustRightInd/>
        <w:spacing w:line="240" w:lineRule="auto"/>
        <w:rPr>
          <w:rFonts w:ascii="仿宋" w:hAnsi="仿宋" w:eastAsia="仿宋" w:cs="Arial"/>
          <w:color w:val="000000"/>
          <w:sz w:val="22"/>
        </w:rPr>
      </w:pPr>
      <w:r>
        <w:rPr>
          <w:rFonts w:ascii="仿宋" w:hAnsi="仿宋" w:eastAsia="仿宋" w:cs="Arial"/>
          <w:color w:val="000000"/>
          <w:sz w:val="22"/>
        </w:rPr>
        <w:t xml:space="preserve">1、负责处理公司全球（约170个国家）法律事务； </w:t>
      </w:r>
      <w:r>
        <w:rPr>
          <w:rFonts w:ascii="仿宋" w:hAnsi="仿宋" w:eastAsia="仿宋" w:cs="Arial"/>
          <w:color w:val="000000"/>
          <w:sz w:val="22"/>
        </w:rPr>
        <w:br/>
      </w:r>
      <w:r>
        <w:rPr>
          <w:rFonts w:ascii="仿宋" w:hAnsi="仿宋" w:eastAsia="仿宋" w:cs="Arial"/>
          <w:color w:val="000000"/>
          <w:sz w:val="22"/>
        </w:rPr>
        <w:t>2、负责与公司全球客户、合作伙伴、竞争对手的业务谈判（如国际贸易、投融资、资本运作、不动产、国际合作等）；</w:t>
      </w:r>
      <w:r>
        <w:rPr>
          <w:rFonts w:ascii="仿宋" w:hAnsi="仿宋" w:eastAsia="仿宋" w:cs="Arial"/>
          <w:color w:val="000000"/>
          <w:sz w:val="22"/>
        </w:rPr>
        <w:br/>
      </w:r>
      <w:r>
        <w:rPr>
          <w:rFonts w:ascii="仿宋" w:hAnsi="仿宋" w:eastAsia="仿宋" w:cs="Arial"/>
          <w:color w:val="000000"/>
          <w:sz w:val="22"/>
        </w:rPr>
        <w:t xml:space="preserve">3、负责在全球建立符合当地法律要求的合规体系（如税务、海关、劳工、反倾销、国际贸易合规、国际贸易壁垒等）； </w:t>
      </w:r>
      <w:r>
        <w:rPr>
          <w:rFonts w:ascii="仿宋" w:hAnsi="仿宋" w:eastAsia="仿宋" w:cs="Arial"/>
          <w:color w:val="000000"/>
          <w:sz w:val="22"/>
        </w:rPr>
        <w:br/>
      </w:r>
      <w:r>
        <w:rPr>
          <w:rFonts w:ascii="仿宋" w:hAnsi="仿宋" w:eastAsia="仿宋" w:cs="Arial"/>
          <w:color w:val="000000"/>
          <w:sz w:val="22"/>
        </w:rPr>
        <w:t xml:space="preserve">4、负责处理全球各类诉讼、仲裁和纠纷； </w:t>
      </w:r>
      <w:r>
        <w:rPr>
          <w:rFonts w:ascii="仿宋" w:hAnsi="仿宋" w:eastAsia="仿宋" w:cs="Arial"/>
          <w:color w:val="000000"/>
          <w:sz w:val="22"/>
        </w:rPr>
        <w:br/>
      </w:r>
      <w:r>
        <w:rPr>
          <w:rFonts w:ascii="仿宋" w:hAnsi="仿宋" w:eastAsia="仿宋" w:cs="Arial"/>
          <w:color w:val="000000"/>
          <w:sz w:val="22"/>
        </w:rPr>
        <w:t>5、负责建立全球法律外部资源平台，与全球主要律师事务所等法律资源建立业务交往。</w:t>
      </w:r>
    </w:p>
    <w:p>
      <w:pPr>
        <w:widowControl/>
        <w:wordWrap w:val="0"/>
        <w:adjustRightInd/>
        <w:spacing w:line="240" w:lineRule="auto"/>
        <w:rPr>
          <w:rFonts w:ascii="仿宋" w:hAnsi="仿宋" w:eastAsia="仿宋" w:cs="Arial"/>
          <w:b/>
          <w:bCs/>
          <w:color w:val="FF0000"/>
          <w:sz w:val="22"/>
        </w:rPr>
      </w:pPr>
      <w:r>
        <w:rPr>
          <w:rFonts w:ascii="仿宋" w:hAnsi="仿宋" w:eastAsia="仿宋" w:cs="Arial"/>
          <w:b/>
          <w:bCs/>
          <w:color w:val="FF0000"/>
          <w:sz w:val="22"/>
        </w:rPr>
        <w:t>资格要求</w:t>
      </w:r>
    </w:p>
    <w:p>
      <w:pPr>
        <w:widowControl/>
        <w:wordWrap w:val="0"/>
        <w:adjustRightInd/>
        <w:spacing w:line="240" w:lineRule="auto"/>
        <w:rPr>
          <w:rFonts w:ascii="仿宋" w:hAnsi="仿宋" w:eastAsia="仿宋" w:cs="Arial"/>
          <w:color w:val="000000"/>
          <w:sz w:val="22"/>
        </w:rPr>
      </w:pPr>
      <w:r>
        <w:rPr>
          <w:rFonts w:ascii="仿宋" w:hAnsi="仿宋" w:eastAsia="仿宋" w:cs="Arial"/>
          <w:color w:val="000000"/>
          <w:sz w:val="22"/>
        </w:rPr>
        <w:t>1、法学/法律硕士学历，有海外留学经验或通过司法考试优先；</w:t>
      </w:r>
      <w:r>
        <w:rPr>
          <w:rFonts w:ascii="仿宋" w:hAnsi="仿宋" w:eastAsia="仿宋" w:cs="Arial"/>
          <w:color w:val="000000"/>
          <w:sz w:val="22"/>
        </w:rPr>
        <w:br/>
      </w:r>
      <w:r>
        <w:rPr>
          <w:rFonts w:ascii="仿宋" w:hAnsi="仿宋" w:eastAsia="仿宋" w:cs="Arial"/>
          <w:color w:val="000000"/>
          <w:sz w:val="22"/>
        </w:rPr>
        <w:t>2、CET-6分数为425分及以上（本科为英语专业的须通过专业八级），能够以英语作为工作语言；</w:t>
      </w:r>
      <w:r>
        <w:rPr>
          <w:rFonts w:ascii="仿宋" w:hAnsi="仿宋" w:eastAsia="仿宋" w:cs="Arial"/>
          <w:color w:val="000000"/>
          <w:sz w:val="22"/>
        </w:rPr>
        <w:br/>
      </w:r>
      <w:r>
        <w:rPr>
          <w:rFonts w:ascii="仿宋" w:hAnsi="仿宋" w:eastAsia="仿宋" w:cs="Arial"/>
          <w:color w:val="000000"/>
          <w:sz w:val="22"/>
        </w:rPr>
        <w:t>3、能适应在全球各地工作；</w:t>
      </w:r>
      <w:r>
        <w:rPr>
          <w:rFonts w:ascii="仿宋" w:hAnsi="仿宋" w:eastAsia="仿宋" w:cs="Arial"/>
          <w:color w:val="000000"/>
          <w:sz w:val="22"/>
        </w:rPr>
        <w:br/>
      </w:r>
      <w:r>
        <w:rPr>
          <w:rFonts w:ascii="仿宋" w:hAnsi="仿宋" w:eastAsia="仿宋" w:cs="Arial"/>
          <w:color w:val="000000"/>
          <w:sz w:val="22"/>
        </w:rPr>
        <w:t>4、具备团队合作、积极主动、坚韧和乐观的精神，沟通和表达能力强。</w:t>
      </w:r>
    </w:p>
    <w:p>
      <w:pPr>
        <w:widowControl/>
        <w:wordWrap w:val="0"/>
        <w:adjustRightInd/>
        <w:spacing w:line="240" w:lineRule="auto"/>
        <w:rPr>
          <w:rFonts w:ascii="仿宋" w:hAnsi="仿宋" w:eastAsia="仿宋" w:cs="Arial"/>
          <w:color w:val="000000"/>
          <w:sz w:val="22"/>
        </w:rPr>
      </w:pPr>
    </w:p>
    <w:p>
      <w:pPr>
        <w:widowControl/>
        <w:wordWrap w:val="0"/>
        <w:adjustRightInd/>
        <w:spacing w:before="100" w:beforeAutospacing="1" w:after="150" w:line="330" w:lineRule="atLeast"/>
        <w:ind w:firstLine="420"/>
        <w:rPr>
          <w:rFonts w:ascii="仿宋" w:hAnsi="仿宋" w:eastAsia="仿宋" w:cs="Arial"/>
          <w:color w:val="000000"/>
          <w:sz w:val="22"/>
        </w:rPr>
      </w:pPr>
      <w:r>
        <w:rPr>
          <w:rFonts w:hint="eastAsia" w:ascii="仿宋" w:hAnsi="仿宋" w:eastAsia="仿宋" w:cs="Arial"/>
          <w:color w:val="000000"/>
          <w:sz w:val="22"/>
        </w:rPr>
        <w:t>请尽快登录华为网站校园招聘主页（</w:t>
      </w:r>
      <w:r>
        <w:fldChar w:fldCharType="begin"/>
      </w:r>
      <w:r>
        <w:instrText xml:space="preserve">HYPERLINK "http://career.huawei.com/" </w:instrText>
      </w:r>
      <w:r>
        <w:fldChar w:fldCharType="separate"/>
      </w:r>
      <w:r>
        <w:rPr>
          <w:rFonts w:ascii="仿宋" w:hAnsi="仿宋" w:eastAsia="仿宋" w:cs="Arial"/>
          <w:b/>
          <w:color w:val="FF0000"/>
          <w:sz w:val="22"/>
        </w:rPr>
        <w:t>http://career.huawei.com</w:t>
      </w:r>
      <w:r>
        <w:fldChar w:fldCharType="end"/>
      </w:r>
      <w:r>
        <w:rPr>
          <w:rFonts w:hint="eastAsia" w:ascii="仿宋" w:hAnsi="仿宋" w:eastAsia="仿宋" w:cs="Arial"/>
          <w:color w:val="000000"/>
          <w:sz w:val="22"/>
        </w:rPr>
        <w:t>），搜索“</w:t>
      </w:r>
      <w:r>
        <w:rPr>
          <w:rFonts w:hint="eastAsia" w:ascii="仿宋" w:hAnsi="仿宋" w:eastAsia="仿宋" w:cs="Arial"/>
          <w:b/>
          <w:color w:val="FF0000"/>
          <w:sz w:val="24"/>
        </w:rPr>
        <w:t>法务专员</w:t>
      </w:r>
      <w:r>
        <w:rPr>
          <w:rFonts w:hint="eastAsia" w:ascii="仿宋" w:hAnsi="仿宋" w:eastAsia="仿宋" w:cs="Arial"/>
          <w:color w:val="000000"/>
          <w:sz w:val="22"/>
        </w:rPr>
        <w:t>”并提交简历。对于符合条件的同学，我们将主动与您联系并安排面试！</w:t>
      </w:r>
    </w:p>
    <w:p>
      <w:pPr>
        <w:widowControl/>
        <w:wordWrap w:val="0"/>
        <w:adjustRightInd/>
        <w:spacing w:before="100" w:beforeAutospacing="1" w:after="150" w:line="330" w:lineRule="atLeast"/>
        <w:ind w:left="-283" w:leftChars="-135"/>
        <w:rPr>
          <w:rFonts w:ascii="微软雅黑" w:hAnsi="微软雅黑" w:eastAsia="微软雅黑" w:cs="Arial"/>
          <w:color w:val="000000"/>
        </w:rPr>
      </w:pPr>
      <w:r>
        <w:rPr>
          <w:rFonts w:ascii="微软雅黑" w:hAnsi="微软雅黑" w:eastAsia="微软雅黑" w:cs="Arial"/>
          <w:color w:val="000000"/>
          <w:sz w:val="21"/>
          <w:szCs w:val="21"/>
          <w:lang w:val="en-US" w:eastAsia="zh-CN" w:bidi="ar-SA"/>
        </w:rPr>
        <w:pict>
          <v:shape id="图片 1" o:spid="_x0000_s1027" type="#_x0000_t75" style="height:246.6pt;width:432.8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headerReference r:id="rId6" w:type="first"/>
      <w:footerReference r:id="rId8" w:type="first"/>
      <w:headerReference r:id="rId4" w:type="default"/>
      <w:headerReference r:id="rId5" w:type="even"/>
      <w:footerReference r:id="rId7" w:type="even"/>
      <w:pgSz w:w="11906" w:h="16838"/>
      <w:pgMar w:top="1312" w:right="1800" w:bottom="1440" w:left="1800" w:header="77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2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57" w:type="dxa"/>
        <w:right w:w="57" w:type="dxa"/>
      </w:tblCellMar>
    </w:tblPr>
    <w:tblGrid>
      <w:gridCol w:w="842"/>
      <w:gridCol w:w="5894"/>
      <w:gridCol w:w="168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</w:tblPrEx>
      <w:trPr>
        <w:cantSplit/>
        <w:trHeight w:val="782" w:hRule="exact"/>
      </w:trPr>
      <w:tc>
        <w:tcPr>
          <w:tcW w:w="842" w:type="dxa"/>
          <w:vAlign w:val="top"/>
        </w:tcPr>
        <w:p>
          <w:pPr>
            <w:pStyle w:val="13"/>
            <w:rPr>
              <w:rFonts w:ascii="Dotum" w:hAnsi="Dotum" w:eastAsia="Dotum"/>
            </w:rPr>
          </w:pPr>
          <w:r>
            <w:rPr>
              <w:rFonts w:ascii="Dotum" w:hAnsi="Dotum" w:eastAsia="Dotum" w:cs="Times New Roman"/>
              <w:sz w:val="21"/>
              <w:szCs w:val="21"/>
              <w:lang w:val="en-US" w:eastAsia="zh-CN" w:bidi="ar-SA"/>
            </w:rPr>
            <w:pict>
              <v:shape id="图片 1" o:spid="_x0000_s1025" type="#_x0000_t75" style="height:33pt;width:33pt;rotation:0f;" o:ole="f" fillcolor="#FFFFFF" filled="f" o:preferrelative="t" stroked="f" coordorigin="0,0" coordsize="21600,21600">
                <v:fill on="f" color2="#FFFFFF" focus="0%"/>
                <v:imagedata gain="65536f" blacklevel="0f" gamma="0" o:title="" r:id="rId1"/>
                <o:lock v:ext="edit" position="f" selection="f" grouping="f" rotation="f" cropping="f" text="f" aspectratio="t"/>
                <w10:wrap type="none"/>
                <w10:anchorlock/>
              </v:shape>
            </w:pict>
          </w:r>
        </w:p>
        <w:p>
          <w:pPr>
            <w:rPr>
              <w:rFonts w:ascii="Dotum" w:hAnsi="Dotum" w:eastAsia="Dotum"/>
            </w:rPr>
          </w:pPr>
        </w:p>
      </w:tc>
      <w:tc>
        <w:tcPr>
          <w:tcW w:w="5894" w:type="dxa"/>
          <w:vAlign w:val="bottom"/>
        </w:tcPr>
        <w:p>
          <w:pPr>
            <w:pStyle w:val="7"/>
            <w:ind w:firstLine="360"/>
            <w:rPr>
              <w:rFonts w:ascii="Dotum" w:hAnsi="Dotum" w:eastAsia="宋体"/>
            </w:rPr>
          </w:pPr>
        </w:p>
      </w:tc>
      <w:tc>
        <w:tcPr>
          <w:tcW w:w="1684" w:type="dxa"/>
          <w:vAlign w:val="bottom"/>
        </w:tcPr>
        <w:p>
          <w:pPr>
            <w:pStyle w:val="7"/>
            <w:ind w:firstLine="360"/>
            <w:rPr>
              <w:rFonts w:ascii="Dotum" w:hAnsi="Dotum" w:eastAsia="宋体"/>
            </w:rPr>
          </w:pPr>
        </w:p>
      </w:tc>
    </w:tr>
  </w:tbl>
  <w:p>
    <w:pPr>
      <w:pStyle w:val="7"/>
      <w:rPr>
        <w:rFonts w:ascii="DotumChe" w:hAnsi="DotumChe" w:eastAsia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6475049">
    <w:nsid w:val="63546429"/>
    <w:multiLevelType w:val="multilevel"/>
    <w:tmpl w:val="63546429"/>
    <w:lvl w:ilvl="0" w:tentative="1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1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1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1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1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1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123964682">
    <w:nsid w:val="42FE570A"/>
    <w:multiLevelType w:val="multilevel"/>
    <w:tmpl w:val="42FE570A"/>
    <w:lvl w:ilvl="0" w:tentative="1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6"/>
        <w:szCs w:val="36"/>
      </w:rPr>
    </w:lvl>
    <w:lvl w:ilvl="1" w:tentative="1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1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1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1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1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1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1">
      <w:start w:val="1"/>
      <w:numFmt w:val="decimal"/>
      <w:lvlRestart w:val="0"/>
      <w:pStyle w:val="12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1">
      <w:start w:val="1"/>
      <w:numFmt w:val="decimal"/>
      <w:lvlRestart w:val="0"/>
      <w:pStyle w:val="9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num w:numId="1">
    <w:abstractNumId w:val="1666475049"/>
  </w:num>
  <w:num w:numId="2">
    <w:abstractNumId w:val="11239646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numPr>
        <w:ilvl w:val="0"/>
        <w:numId w:val="1"/>
      </w:numPr>
      <w:spacing w:before="240" w:after="240"/>
      <w:jc w:val="both"/>
      <w:outlineLvl w:val="0"/>
    </w:pPr>
    <w:rPr>
      <w:rFonts w:ascii="Arial" w:hAnsi="Arial" w:eastAsia="黑体"/>
      <w:b/>
      <w:sz w:val="32"/>
      <w:szCs w:val="32"/>
    </w:rPr>
  </w:style>
  <w:style w:type="paragraph" w:styleId="3">
    <w:name w:val="heading 2"/>
    <w:next w:val="1"/>
    <w:link w:val="23"/>
    <w:qFormat/>
    <w:uiPriority w:val="9"/>
    <w:pPr>
      <w:keepNext/>
      <w:numPr>
        <w:ilvl w:val="1"/>
        <w:numId w:val="1"/>
      </w:numPr>
      <w:tabs>
        <w:tab w:val="left" w:pos="432"/>
      </w:tabs>
      <w:spacing w:before="240" w:after="240"/>
      <w:jc w:val="both"/>
      <w:outlineLvl w:val="1"/>
    </w:pPr>
    <w:rPr>
      <w:rFonts w:ascii="Arial" w:hAnsi="Arial" w:eastAsia="黑体"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432"/>
      </w:tabs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8">
    <w:name w:val="Default Paragraph Font"/>
    <w:semiHidden/>
    <w:unhideWhenUsed/>
    <w:uiPriority w:val="1"/>
  </w:style>
  <w:style w:type="paragraph" w:styleId="5">
    <w:name w:val="Balloon Text"/>
    <w:basedOn w:val="1"/>
    <w:link w:val="22"/>
    <w:uiPriority w:val="0"/>
    <w:pPr>
      <w:spacing w:line="240" w:lineRule="auto"/>
    </w:pPr>
    <w:rPr>
      <w:sz w:val="18"/>
      <w:szCs w:val="18"/>
    </w:rPr>
  </w:style>
  <w:style w:type="paragraph" w:styleId="6">
    <w:name w:val="footer"/>
    <w:uiPriority w:val="0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7">
    <w:name w:val="header"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9">
    <w:name w:val="表格题注"/>
    <w:next w:val="1"/>
    <w:uiPriority w:val="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10">
    <w:name w:val="表格文本"/>
    <w:uiPriority w:val="0"/>
    <w:pPr>
      <w:tabs>
        <w:tab w:val="decimal" w:pos="0"/>
      </w:tabs>
    </w:pPr>
    <w:rPr>
      <w:rFonts w:ascii="Arial" w:hAnsi="Arial"/>
      <w:sz w:val="21"/>
      <w:szCs w:val="21"/>
    </w:rPr>
  </w:style>
  <w:style w:type="paragraph" w:customStyle="1" w:styleId="11">
    <w:name w:val="表头文本"/>
    <w:uiPriority w:val="0"/>
    <w:pPr>
      <w:jc w:val="center"/>
    </w:pPr>
    <w:rPr>
      <w:rFonts w:ascii="Arial" w:hAnsi="Arial"/>
      <w:b/>
      <w:sz w:val="21"/>
      <w:szCs w:val="21"/>
    </w:rPr>
  </w:style>
  <w:style w:type="paragraph" w:customStyle="1" w:styleId="12">
    <w:name w:val="插图题注"/>
    <w:next w:val="1"/>
    <w:uiPriority w:val="0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13">
    <w:name w:val="图样式"/>
    <w:basedOn w:val="1"/>
    <w:uiPriority w:val="0"/>
    <w:pPr>
      <w:keepNext/>
      <w:widowControl/>
      <w:spacing w:before="80" w:after="80"/>
      <w:jc w:val="center"/>
    </w:pPr>
  </w:style>
  <w:style w:type="paragraph" w:customStyle="1" w:styleId="14">
    <w:name w:val="文档标题"/>
    <w:basedOn w:val="1"/>
    <w:uiPriority w:val="0"/>
    <w:pPr>
      <w:tabs>
        <w:tab w:val="left" w:pos="0"/>
      </w:tabs>
      <w:spacing w:before="300" w:after="300"/>
      <w:jc w:val="center"/>
    </w:pPr>
    <w:rPr>
      <w:rFonts w:ascii="Arial" w:hAnsi="Arial" w:eastAsia="黑体"/>
      <w:sz w:val="36"/>
      <w:szCs w:val="36"/>
    </w:rPr>
  </w:style>
  <w:style w:type="paragraph" w:customStyle="1" w:styleId="15">
    <w:name w:val="正文（首行不缩进）"/>
    <w:basedOn w:val="1"/>
    <w:uiPriority w:val="0"/>
  </w:style>
  <w:style w:type="paragraph" w:customStyle="1" w:styleId="16">
    <w:name w:val="注示头"/>
    <w:basedOn w:val="1"/>
    <w:uiPriority w:val="0"/>
    <w:pPr>
      <w:pBdr>
        <w:top w:val="single" w:color="000000" w:sz="4" w:space="1"/>
      </w:pBdr>
      <w:jc w:val="both"/>
    </w:pPr>
    <w:rPr>
      <w:rFonts w:ascii="Arial" w:hAnsi="Arial" w:eastAsia="黑体"/>
      <w:sz w:val="18"/>
    </w:rPr>
  </w:style>
  <w:style w:type="paragraph" w:customStyle="1" w:styleId="17">
    <w:name w:val="注示文本"/>
    <w:basedOn w:val="1"/>
    <w:uiPriority w:val="0"/>
    <w:pPr>
      <w:pBdr>
        <w:bottom w:val="single" w:color="000000" w:sz="4" w:space="1"/>
      </w:pBdr>
      <w:ind w:firstLine="360"/>
      <w:jc w:val="both"/>
    </w:pPr>
    <w:rPr>
      <w:rFonts w:ascii="Arial" w:hAnsi="Arial" w:eastAsia="楷体_GB2312"/>
      <w:sz w:val="18"/>
      <w:szCs w:val="18"/>
    </w:rPr>
  </w:style>
  <w:style w:type="paragraph" w:customStyle="1" w:styleId="18">
    <w:name w:val="编写建议"/>
    <w:basedOn w:val="1"/>
    <w:uiPriority w:val="0"/>
    <w:pPr>
      <w:ind w:firstLine="420"/>
    </w:pPr>
    <w:rPr>
      <w:rFonts w:ascii="Arial" w:hAnsi="Arial" w:cs="Arial"/>
      <w:i/>
      <w:color w:val="0000FF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样式一"/>
    <w:basedOn w:val="8"/>
    <w:uiPriority w:val="0"/>
    <w:rPr>
      <w:rFonts w:ascii="宋体" w:hAnsi="宋体"/>
      <w:b/>
      <w:bCs/>
      <w:color w:val="000000"/>
      <w:sz w:val="36"/>
    </w:rPr>
  </w:style>
  <w:style w:type="character" w:customStyle="1" w:styleId="21">
    <w:name w:val="样式二"/>
    <w:basedOn w:val="20"/>
    <w:uiPriority w:val="0"/>
    <w:rPr/>
  </w:style>
  <w:style w:type="character" w:customStyle="1" w:styleId="22">
    <w:name w:val="批注框文本 Char"/>
    <w:basedOn w:val="8"/>
    <w:link w:val="5"/>
    <w:uiPriority w:val="0"/>
    <w:rPr>
      <w:snapToGrid w:val="0"/>
      <w:sz w:val="18"/>
      <w:szCs w:val="18"/>
    </w:rPr>
  </w:style>
  <w:style w:type="character" w:customStyle="1" w:styleId="23">
    <w:name w:val="标题 2 Char"/>
    <w:basedOn w:val="8"/>
    <w:link w:val="3"/>
    <w:uiPriority w:val="9"/>
    <w:rPr>
      <w:rFonts w:ascii="Arial" w:hAnsi="Arial" w:eastAsia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2.jpeg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140</Words>
  <Characters>800</Characters>
  <Lines>6</Lines>
  <Paragraphs>1</Paragraphs>
  <TotalTime>0</TotalTime>
  <ScaleCrop>false</ScaleCrop>
  <LinksUpToDate>false</LinksUpToDate>
  <CharactersWithSpaces>0</CharactersWithSpaces>
  <Application>WPS Office 个人版_9.1.0.4843_{F1E327BC-269C-435d-A152-05C5408002CA}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2010-06-21T04:30:00Z</dcterms:created>
  <dc:creator>Zhoujie (Jie, LAD&amp;HR)</dc:creator>
  <cp:lastModifiedBy>Administrator</cp:lastModifiedBy>
  <dcterms:modified xsi:type="dcterms:W3CDTF">2014-09-16T07:41:18Z</dcterms:modified>
  <dc:title>华为2015年应届毕业生招聘 之 华为法务部招聘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sflag">
    <vt:lpwstr>1410741796</vt:lpwstr>
  </property>
  <property fmtid="{D5CDD505-2E9C-101B-9397-08002B2CF9AE}" pid="7" name="KSOProductBuildVer">
    <vt:lpwstr>2052-9.1.0.4843</vt:lpwstr>
  </property>
</Properties>
</file>