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Default ContentType="image/jpeg" Extension="jpe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5"/>
        <w:shd w:val="clear" w:color="auto" w:fill="FFFFFF"/>
        <w:spacing w:before="0" w:beforeAutospacing="0" w:after="0" w:afterAutospacing="0" w:line="326" w:lineRule="atLeast"/>
        <w:ind w:firstLine="480"/>
        <w:jc w:val="center"/>
        <w:rPr>
          <w:rFonts w:ascii="黑体" w:hAnsi="黑体" w:eastAsia="黑体"/>
          <w:b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/>
          <w:b/>
          <w:sz w:val="28"/>
          <w:szCs w:val="28"/>
        </w:rPr>
        <w:t>华润置地2015年“百匠新人”校园招聘简章</w:t>
      </w:r>
    </w:p>
    <w:p>
      <w:pPr>
        <w:pStyle w:val="5"/>
        <w:shd w:val="clear" w:color="auto" w:fill="FFFFFF"/>
        <w:spacing w:before="0" w:beforeAutospacing="0" w:after="0" w:afterAutospacing="0" w:line="326" w:lineRule="atLeast"/>
        <w:ind w:firstLine="480"/>
        <w:jc w:val="center"/>
        <w:rPr>
          <w:rFonts w:ascii="黑体" w:hAnsi="黑体" w:eastAsia="黑体"/>
          <w:b/>
          <w:sz w:val="28"/>
          <w:szCs w:val="28"/>
        </w:rPr>
      </w:pPr>
    </w:p>
    <w:p>
      <w:pPr>
        <w:pStyle w:val="5"/>
        <w:shd w:val="clear" w:color="auto" w:fill="FFFFFF"/>
        <w:spacing w:before="0" w:beforeAutospacing="0" w:after="0" w:afterAutospacing="0" w:line="326" w:lineRule="atLeast"/>
        <w:ind w:firstLine="480"/>
        <w:jc w:val="both"/>
        <w:rPr>
          <w:rFonts w:hint="eastAsia" w:ascii="仿宋_GB2312" w:hAnsi="仿宋" w:eastAsia="仿宋_GB2312"/>
          <w:color w:val="2E2E2E"/>
          <w:sz w:val="22"/>
          <w:szCs w:val="22"/>
        </w:rPr>
      </w:pPr>
      <w:r>
        <w:rPr>
          <w:rFonts w:hint="eastAsia" w:ascii="仿宋_GB2312" w:hAnsi="仿宋" w:eastAsia="仿宋_GB2312"/>
          <w:color w:val="2E2E2E"/>
          <w:sz w:val="22"/>
          <w:szCs w:val="22"/>
        </w:rPr>
        <w:t>华润置地2015年“百匠新人”校园招聘已于2014年9月正式启动，将通过简历收集、校园宣讲、面试（3-4轮）、在线测评、录用等环节面，向全国招募400多名有志者加入房地产行业。</w:t>
      </w:r>
    </w:p>
    <w:p>
      <w:pPr>
        <w:pStyle w:val="5"/>
        <w:shd w:val="clear" w:color="auto" w:fill="FFFFFF"/>
        <w:spacing w:before="0" w:beforeAutospacing="0" w:after="0" w:afterAutospacing="0" w:line="326" w:lineRule="atLeast"/>
        <w:ind w:firstLine="480"/>
        <w:jc w:val="both"/>
        <w:rPr>
          <w:rFonts w:hint="eastAsia" w:ascii="仿宋_GB2312" w:hAnsi="仿宋" w:eastAsia="仿宋_GB2312"/>
          <w:color w:val="2E2E2E"/>
          <w:sz w:val="22"/>
          <w:szCs w:val="22"/>
        </w:rPr>
      </w:pPr>
      <w:r>
        <w:rPr>
          <w:rFonts w:hint="eastAsia" w:ascii="仿宋_GB2312" w:hAnsi="仿宋" w:eastAsia="仿宋_GB2312" w:cs="宋体"/>
          <w:color w:val="2E2E2E"/>
          <w:kern w:val="0"/>
          <w:sz w:val="22"/>
          <w:szCs w:val="22"/>
          <w:lang w:val="en-US" w:eastAsia="zh-CN" w:bidi="ar-SA"/>
        </w:rPr>
        <w:pict>
          <v:shape id="图片 9" o:spid="_x0000_s1027" type="#_x0000_t75" style="height:106.5pt;width:106.5pt;rotation:0f;" o:ole="f" fillcolor="#FFFFFF" filled="f" o:preferrelative="t" stroked="f" coordorigin="0,0" coordsize="21600,21600">
            <v:fill on="f" color2="#FFFFFF" focus="0%"/>
            <v:imagedata gain="65536f" blacklevel="0f" gamma="0" o:title="" r:id="rId7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hint="eastAsia" w:ascii="仿宋_GB2312" w:hAnsi="仿宋" w:eastAsia="仿宋_GB2312"/>
          <w:color w:val="2E2E2E"/>
          <w:sz w:val="22"/>
          <w:szCs w:val="22"/>
        </w:rPr>
        <w:t>关注宣讲会信息请扫华润置地武汉大区校园招聘二维码</w:t>
      </w:r>
    </w:p>
    <w:p>
      <w:pPr>
        <w:pStyle w:val="5"/>
        <w:shd w:val="clear" w:color="auto" w:fill="FFFFFF"/>
        <w:spacing w:before="0" w:beforeAutospacing="0" w:after="0" w:afterAutospacing="0" w:line="326" w:lineRule="atLeast"/>
        <w:ind w:firstLine="480"/>
        <w:jc w:val="both"/>
        <w:rPr>
          <w:rFonts w:ascii="仿宋_GB2312" w:hAnsi="仿宋" w:eastAsia="仿宋_GB2312"/>
          <w:color w:val="2E2E2E"/>
          <w:sz w:val="22"/>
          <w:szCs w:val="22"/>
        </w:rPr>
      </w:pPr>
    </w:p>
    <w:p>
      <w:pPr>
        <w:pStyle w:val="8"/>
        <w:widowControl/>
        <w:numPr>
          <w:ilvl w:val="0"/>
          <w:numId w:val="1"/>
        </w:numPr>
        <w:shd w:val="clear" w:color="auto" w:fill="FFFFFF"/>
        <w:spacing w:line="326" w:lineRule="atLeast"/>
        <w:ind w:firstLineChars="0"/>
        <w:jc w:val="left"/>
        <w:rPr>
          <w:rFonts w:ascii="黑体" w:hAnsi="黑体" w:eastAsia="黑体" w:cs="宋体"/>
          <w:b/>
          <w:color w:val="FFC000"/>
          <w:kern w:val="0"/>
          <w:sz w:val="22"/>
        </w:rPr>
      </w:pPr>
      <w:r>
        <w:rPr>
          <w:rFonts w:hint="eastAsia" w:ascii="黑体" w:hAnsi="黑体" w:eastAsia="黑体" w:cs="宋体"/>
          <w:b/>
          <w:color w:val="FFC000"/>
          <w:kern w:val="0"/>
          <w:sz w:val="22"/>
        </w:rPr>
        <w:t>【招聘需求】</w:t>
      </w:r>
    </w:p>
    <w:tbl>
      <w:tblPr>
        <w:tblW w:w="8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706"/>
        <w:gridCol w:w="604"/>
        <w:gridCol w:w="604"/>
        <w:gridCol w:w="604"/>
        <w:gridCol w:w="604"/>
        <w:gridCol w:w="592"/>
        <w:gridCol w:w="680"/>
        <w:gridCol w:w="604"/>
        <w:gridCol w:w="592"/>
        <w:gridCol w:w="655"/>
        <w:gridCol w:w="592"/>
        <w:gridCol w:w="6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8522" w:type="dxa"/>
            <w:gridSpan w:val="13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b/>
                <w:bCs/>
                <w:color w:val="2E2E2E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2E2E2E"/>
                <w:kern w:val="0"/>
                <w:szCs w:val="21"/>
              </w:rPr>
              <w:t>华润置地2015年校园招聘岗位需求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1056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b/>
                <w:bCs/>
                <w:color w:val="2E2E2E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2E2E2E"/>
                <w:kern w:val="0"/>
                <w:szCs w:val="21"/>
              </w:rPr>
              <w:t>区域</w:t>
            </w:r>
          </w:p>
        </w:tc>
        <w:tc>
          <w:tcPr>
            <w:tcW w:w="706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b/>
                <w:bCs/>
                <w:color w:val="2E2E2E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2E2E2E"/>
                <w:kern w:val="0"/>
                <w:szCs w:val="21"/>
              </w:rPr>
              <w:t>投资运营开发类</w:t>
            </w:r>
          </w:p>
        </w:tc>
        <w:tc>
          <w:tcPr>
            <w:tcW w:w="604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b/>
                <w:bCs/>
                <w:color w:val="2E2E2E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2E2E2E"/>
                <w:kern w:val="0"/>
                <w:szCs w:val="21"/>
              </w:rPr>
              <w:t>设计管理类</w:t>
            </w:r>
          </w:p>
        </w:tc>
        <w:tc>
          <w:tcPr>
            <w:tcW w:w="604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b/>
                <w:bCs/>
                <w:color w:val="2E2E2E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2E2E2E"/>
                <w:kern w:val="0"/>
                <w:szCs w:val="21"/>
              </w:rPr>
              <w:t>工程管理类</w:t>
            </w:r>
          </w:p>
        </w:tc>
        <w:tc>
          <w:tcPr>
            <w:tcW w:w="604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b/>
                <w:bCs/>
                <w:color w:val="2E2E2E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2E2E2E"/>
                <w:kern w:val="0"/>
                <w:szCs w:val="21"/>
              </w:rPr>
              <w:t>成本/招采类</w:t>
            </w:r>
          </w:p>
        </w:tc>
        <w:tc>
          <w:tcPr>
            <w:tcW w:w="604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b/>
                <w:bCs/>
                <w:color w:val="2E2E2E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2E2E2E"/>
                <w:kern w:val="0"/>
                <w:szCs w:val="21"/>
              </w:rPr>
              <w:t>营销管理类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b/>
                <w:bCs/>
                <w:color w:val="2E2E2E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2E2E2E"/>
                <w:kern w:val="0"/>
                <w:szCs w:val="21"/>
              </w:rPr>
              <w:t>客户服务类</w:t>
            </w:r>
          </w:p>
        </w:tc>
        <w:tc>
          <w:tcPr>
            <w:tcW w:w="680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b/>
                <w:bCs/>
                <w:color w:val="2E2E2E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2E2E2E"/>
                <w:kern w:val="0"/>
                <w:szCs w:val="21"/>
              </w:rPr>
              <w:t>人事行政/法律类</w:t>
            </w:r>
          </w:p>
        </w:tc>
        <w:tc>
          <w:tcPr>
            <w:tcW w:w="604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b/>
                <w:bCs/>
                <w:color w:val="2E2E2E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2E2E2E"/>
                <w:kern w:val="0"/>
                <w:szCs w:val="21"/>
              </w:rPr>
              <w:t>财务管理类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b/>
                <w:bCs/>
                <w:color w:val="2E2E2E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2E2E2E"/>
                <w:kern w:val="0"/>
                <w:szCs w:val="21"/>
              </w:rPr>
              <w:t>信息管理类</w:t>
            </w:r>
          </w:p>
        </w:tc>
        <w:tc>
          <w:tcPr>
            <w:tcW w:w="655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b/>
                <w:bCs/>
                <w:color w:val="2E2E2E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2E2E2E"/>
                <w:kern w:val="0"/>
                <w:szCs w:val="21"/>
              </w:rPr>
              <w:t>商业管理类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b/>
                <w:bCs/>
                <w:color w:val="2E2E2E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2E2E2E"/>
                <w:kern w:val="0"/>
                <w:szCs w:val="21"/>
              </w:rPr>
              <w:t>物业管理类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b/>
                <w:bCs/>
                <w:color w:val="2E2E2E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2E2E2E"/>
                <w:kern w:val="0"/>
                <w:szCs w:val="21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056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color w:val="2E2E2E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2E2E2E"/>
                <w:kern w:val="0"/>
                <w:szCs w:val="21"/>
              </w:rPr>
              <w:t>北京大区</w:t>
            </w:r>
          </w:p>
        </w:tc>
        <w:tc>
          <w:tcPr>
            <w:tcW w:w="706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</w:p>
        </w:tc>
        <w:tc>
          <w:tcPr>
            <w:tcW w:w="604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4</w:t>
            </w:r>
          </w:p>
        </w:tc>
        <w:tc>
          <w:tcPr>
            <w:tcW w:w="604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5</w:t>
            </w:r>
          </w:p>
        </w:tc>
        <w:tc>
          <w:tcPr>
            <w:tcW w:w="604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3</w:t>
            </w:r>
          </w:p>
        </w:tc>
        <w:tc>
          <w:tcPr>
            <w:tcW w:w="604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5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2</w:t>
            </w:r>
          </w:p>
        </w:tc>
        <w:tc>
          <w:tcPr>
            <w:tcW w:w="680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</w:p>
        </w:tc>
        <w:tc>
          <w:tcPr>
            <w:tcW w:w="604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</w:p>
        </w:tc>
        <w:tc>
          <w:tcPr>
            <w:tcW w:w="592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</w:p>
        </w:tc>
        <w:tc>
          <w:tcPr>
            <w:tcW w:w="655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11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</w:p>
        </w:tc>
        <w:tc>
          <w:tcPr>
            <w:tcW w:w="629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b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b/>
                <w:color w:val="2E2E2E"/>
                <w:kern w:val="0"/>
                <w:szCs w:val="21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056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color w:val="2E2E2E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2E2E2E"/>
                <w:kern w:val="0"/>
                <w:szCs w:val="21"/>
              </w:rPr>
              <w:t>上海大区</w:t>
            </w:r>
          </w:p>
        </w:tc>
        <w:tc>
          <w:tcPr>
            <w:tcW w:w="706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1</w:t>
            </w:r>
          </w:p>
        </w:tc>
        <w:tc>
          <w:tcPr>
            <w:tcW w:w="604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3</w:t>
            </w:r>
          </w:p>
        </w:tc>
        <w:tc>
          <w:tcPr>
            <w:tcW w:w="604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5</w:t>
            </w:r>
          </w:p>
        </w:tc>
        <w:tc>
          <w:tcPr>
            <w:tcW w:w="604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2</w:t>
            </w:r>
          </w:p>
        </w:tc>
        <w:tc>
          <w:tcPr>
            <w:tcW w:w="604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</w:p>
        </w:tc>
        <w:tc>
          <w:tcPr>
            <w:tcW w:w="680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1</w:t>
            </w:r>
          </w:p>
        </w:tc>
        <w:tc>
          <w:tcPr>
            <w:tcW w:w="604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3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</w:p>
        </w:tc>
        <w:tc>
          <w:tcPr>
            <w:tcW w:w="655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14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</w:p>
        </w:tc>
        <w:tc>
          <w:tcPr>
            <w:tcW w:w="629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b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b/>
                <w:color w:val="2E2E2E"/>
                <w:kern w:val="0"/>
                <w:szCs w:val="21"/>
              </w:rPr>
              <w:t>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056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color w:val="2E2E2E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2E2E2E"/>
                <w:kern w:val="0"/>
                <w:szCs w:val="21"/>
              </w:rPr>
              <w:t>深圳大区</w:t>
            </w:r>
          </w:p>
        </w:tc>
        <w:tc>
          <w:tcPr>
            <w:tcW w:w="706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2</w:t>
            </w:r>
          </w:p>
        </w:tc>
        <w:tc>
          <w:tcPr>
            <w:tcW w:w="604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5</w:t>
            </w:r>
          </w:p>
        </w:tc>
        <w:tc>
          <w:tcPr>
            <w:tcW w:w="604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12</w:t>
            </w:r>
          </w:p>
        </w:tc>
        <w:tc>
          <w:tcPr>
            <w:tcW w:w="604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6</w:t>
            </w:r>
          </w:p>
        </w:tc>
        <w:tc>
          <w:tcPr>
            <w:tcW w:w="604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13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</w:p>
        </w:tc>
        <w:tc>
          <w:tcPr>
            <w:tcW w:w="680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4</w:t>
            </w:r>
          </w:p>
        </w:tc>
        <w:tc>
          <w:tcPr>
            <w:tcW w:w="604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8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3</w:t>
            </w:r>
          </w:p>
        </w:tc>
        <w:tc>
          <w:tcPr>
            <w:tcW w:w="655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19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2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b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b/>
                <w:color w:val="2E2E2E"/>
                <w:kern w:val="0"/>
                <w:szCs w:val="21"/>
              </w:rPr>
              <w:t>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056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color w:val="2E2E2E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2E2E2E"/>
                <w:kern w:val="0"/>
                <w:szCs w:val="21"/>
              </w:rPr>
              <w:t>成都大区</w:t>
            </w:r>
          </w:p>
        </w:tc>
        <w:tc>
          <w:tcPr>
            <w:tcW w:w="706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4</w:t>
            </w:r>
          </w:p>
        </w:tc>
        <w:tc>
          <w:tcPr>
            <w:tcW w:w="604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8</w:t>
            </w:r>
          </w:p>
        </w:tc>
        <w:tc>
          <w:tcPr>
            <w:tcW w:w="604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5</w:t>
            </w:r>
          </w:p>
        </w:tc>
        <w:tc>
          <w:tcPr>
            <w:tcW w:w="604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5</w:t>
            </w:r>
          </w:p>
        </w:tc>
        <w:tc>
          <w:tcPr>
            <w:tcW w:w="604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9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4</w:t>
            </w:r>
          </w:p>
        </w:tc>
        <w:tc>
          <w:tcPr>
            <w:tcW w:w="680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6</w:t>
            </w:r>
          </w:p>
        </w:tc>
        <w:tc>
          <w:tcPr>
            <w:tcW w:w="604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5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1</w:t>
            </w:r>
          </w:p>
        </w:tc>
        <w:tc>
          <w:tcPr>
            <w:tcW w:w="655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17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5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b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b/>
                <w:color w:val="2E2E2E"/>
                <w:kern w:val="0"/>
                <w:szCs w:val="21"/>
              </w:rPr>
              <w:t>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056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color w:val="2E2E2E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2E2E2E"/>
                <w:kern w:val="0"/>
                <w:szCs w:val="21"/>
              </w:rPr>
              <w:t>沈阳大区</w:t>
            </w:r>
          </w:p>
        </w:tc>
        <w:tc>
          <w:tcPr>
            <w:tcW w:w="706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</w:p>
        </w:tc>
        <w:tc>
          <w:tcPr>
            <w:tcW w:w="604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1</w:t>
            </w:r>
          </w:p>
        </w:tc>
        <w:tc>
          <w:tcPr>
            <w:tcW w:w="604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1</w:t>
            </w:r>
          </w:p>
        </w:tc>
        <w:tc>
          <w:tcPr>
            <w:tcW w:w="604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3</w:t>
            </w:r>
          </w:p>
        </w:tc>
        <w:tc>
          <w:tcPr>
            <w:tcW w:w="604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</w:p>
        </w:tc>
        <w:tc>
          <w:tcPr>
            <w:tcW w:w="680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2</w:t>
            </w:r>
          </w:p>
        </w:tc>
        <w:tc>
          <w:tcPr>
            <w:tcW w:w="604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</w:p>
        </w:tc>
        <w:tc>
          <w:tcPr>
            <w:tcW w:w="655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27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</w:p>
        </w:tc>
        <w:tc>
          <w:tcPr>
            <w:tcW w:w="629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b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b/>
                <w:color w:val="2E2E2E"/>
                <w:kern w:val="0"/>
                <w:szCs w:val="21"/>
              </w:rPr>
              <w:t>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056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color w:val="2E2E2E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2E2E2E"/>
                <w:kern w:val="0"/>
                <w:szCs w:val="21"/>
              </w:rPr>
              <w:t>山东大区</w:t>
            </w:r>
          </w:p>
        </w:tc>
        <w:tc>
          <w:tcPr>
            <w:tcW w:w="706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1</w:t>
            </w:r>
          </w:p>
        </w:tc>
        <w:tc>
          <w:tcPr>
            <w:tcW w:w="604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8</w:t>
            </w:r>
          </w:p>
        </w:tc>
        <w:tc>
          <w:tcPr>
            <w:tcW w:w="604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24</w:t>
            </w:r>
          </w:p>
        </w:tc>
        <w:tc>
          <w:tcPr>
            <w:tcW w:w="604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12</w:t>
            </w:r>
          </w:p>
        </w:tc>
        <w:tc>
          <w:tcPr>
            <w:tcW w:w="604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7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</w:p>
        </w:tc>
        <w:tc>
          <w:tcPr>
            <w:tcW w:w="680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7</w:t>
            </w:r>
          </w:p>
        </w:tc>
        <w:tc>
          <w:tcPr>
            <w:tcW w:w="604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7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2</w:t>
            </w:r>
          </w:p>
        </w:tc>
        <w:tc>
          <w:tcPr>
            <w:tcW w:w="655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15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</w:p>
        </w:tc>
        <w:tc>
          <w:tcPr>
            <w:tcW w:w="629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b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b/>
                <w:color w:val="2E2E2E"/>
                <w:kern w:val="0"/>
                <w:szCs w:val="21"/>
              </w:rPr>
              <w:t>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056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color w:val="2E2E2E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2E2E2E"/>
                <w:kern w:val="0"/>
                <w:szCs w:val="21"/>
              </w:rPr>
              <w:t>江苏大区</w:t>
            </w:r>
          </w:p>
        </w:tc>
        <w:tc>
          <w:tcPr>
            <w:tcW w:w="706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</w:p>
        </w:tc>
        <w:tc>
          <w:tcPr>
            <w:tcW w:w="604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3</w:t>
            </w:r>
          </w:p>
        </w:tc>
        <w:tc>
          <w:tcPr>
            <w:tcW w:w="604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6</w:t>
            </w:r>
          </w:p>
        </w:tc>
        <w:tc>
          <w:tcPr>
            <w:tcW w:w="604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3</w:t>
            </w:r>
          </w:p>
        </w:tc>
        <w:tc>
          <w:tcPr>
            <w:tcW w:w="604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6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</w:p>
        </w:tc>
        <w:tc>
          <w:tcPr>
            <w:tcW w:w="680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</w:p>
        </w:tc>
        <w:tc>
          <w:tcPr>
            <w:tcW w:w="604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</w:p>
        </w:tc>
        <w:tc>
          <w:tcPr>
            <w:tcW w:w="592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</w:p>
        </w:tc>
        <w:tc>
          <w:tcPr>
            <w:tcW w:w="655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hint="eastAsia" w:ascii="Arial" w:hAnsi="Arial" w:eastAsia="仿宋_GB2312" w:cs="Arial"/>
                <w:color w:val="2E2E2E"/>
                <w:kern w:val="0"/>
                <w:szCs w:val="21"/>
              </w:rPr>
              <w:t>6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</w:p>
        </w:tc>
        <w:tc>
          <w:tcPr>
            <w:tcW w:w="629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b/>
                <w:color w:val="2E2E2E"/>
                <w:kern w:val="0"/>
                <w:szCs w:val="21"/>
              </w:rPr>
            </w:pPr>
            <w:r>
              <w:rPr>
                <w:rFonts w:hint="eastAsia" w:ascii="Arial" w:hAnsi="Arial" w:eastAsia="仿宋_GB2312" w:cs="Arial"/>
                <w:b/>
                <w:color w:val="2E2E2E"/>
                <w:kern w:val="0"/>
                <w:szCs w:val="21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056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color w:val="2E2E2E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2E2E2E"/>
                <w:kern w:val="0"/>
                <w:szCs w:val="21"/>
              </w:rPr>
              <w:t>武汉大区</w:t>
            </w:r>
          </w:p>
        </w:tc>
        <w:tc>
          <w:tcPr>
            <w:tcW w:w="706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4</w:t>
            </w:r>
          </w:p>
        </w:tc>
        <w:tc>
          <w:tcPr>
            <w:tcW w:w="604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2</w:t>
            </w:r>
          </w:p>
        </w:tc>
        <w:tc>
          <w:tcPr>
            <w:tcW w:w="604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1</w:t>
            </w:r>
          </w:p>
        </w:tc>
        <w:tc>
          <w:tcPr>
            <w:tcW w:w="604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1</w:t>
            </w:r>
          </w:p>
        </w:tc>
        <w:tc>
          <w:tcPr>
            <w:tcW w:w="604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3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2</w:t>
            </w:r>
          </w:p>
        </w:tc>
        <w:tc>
          <w:tcPr>
            <w:tcW w:w="680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1</w:t>
            </w:r>
          </w:p>
        </w:tc>
        <w:tc>
          <w:tcPr>
            <w:tcW w:w="604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3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</w:p>
        </w:tc>
        <w:tc>
          <w:tcPr>
            <w:tcW w:w="655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9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</w:p>
        </w:tc>
        <w:tc>
          <w:tcPr>
            <w:tcW w:w="629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b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b/>
                <w:color w:val="2E2E2E"/>
                <w:kern w:val="0"/>
                <w:szCs w:val="21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056" w:type="dxa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color w:val="2E2E2E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2E2E2E"/>
                <w:kern w:val="0"/>
                <w:szCs w:val="21"/>
              </w:rPr>
              <w:t>福建大区</w:t>
            </w:r>
          </w:p>
        </w:tc>
        <w:tc>
          <w:tcPr>
            <w:tcW w:w="706" w:type="dxa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1</w:t>
            </w:r>
          </w:p>
        </w:tc>
        <w:tc>
          <w:tcPr>
            <w:tcW w:w="604" w:type="dxa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4</w:t>
            </w:r>
          </w:p>
        </w:tc>
        <w:tc>
          <w:tcPr>
            <w:tcW w:w="604" w:type="dxa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6</w:t>
            </w:r>
          </w:p>
        </w:tc>
        <w:tc>
          <w:tcPr>
            <w:tcW w:w="604" w:type="dxa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2</w:t>
            </w:r>
          </w:p>
        </w:tc>
        <w:tc>
          <w:tcPr>
            <w:tcW w:w="604" w:type="dxa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4</w:t>
            </w:r>
          </w:p>
        </w:tc>
        <w:tc>
          <w:tcPr>
            <w:tcW w:w="592" w:type="dxa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</w:p>
        </w:tc>
        <w:tc>
          <w:tcPr>
            <w:tcW w:w="680" w:type="dxa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1</w:t>
            </w:r>
          </w:p>
        </w:tc>
        <w:tc>
          <w:tcPr>
            <w:tcW w:w="604" w:type="dxa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</w:p>
        </w:tc>
        <w:tc>
          <w:tcPr>
            <w:tcW w:w="592" w:type="dxa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1</w:t>
            </w:r>
          </w:p>
        </w:tc>
        <w:tc>
          <w:tcPr>
            <w:tcW w:w="655" w:type="dxa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2E2E2E"/>
                <w:kern w:val="0"/>
                <w:szCs w:val="21"/>
              </w:rPr>
              <w:t>13</w:t>
            </w:r>
          </w:p>
        </w:tc>
        <w:tc>
          <w:tcPr>
            <w:tcW w:w="592" w:type="dxa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color w:val="2E2E2E"/>
                <w:kern w:val="0"/>
                <w:szCs w:val="21"/>
              </w:rPr>
            </w:pPr>
          </w:p>
        </w:tc>
        <w:tc>
          <w:tcPr>
            <w:tcW w:w="629" w:type="dxa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b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b/>
                <w:color w:val="2E2E2E"/>
                <w:kern w:val="0"/>
                <w:szCs w:val="21"/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1056" w:type="dxa"/>
            <w:tcBorders>
              <w:top w:val="single" w:color="000000" w:sz="4" w:space="0"/>
              <w:bottom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b/>
                <w:bCs/>
                <w:color w:val="2E2E2E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2E2E2E"/>
                <w:kern w:val="0"/>
                <w:szCs w:val="21"/>
              </w:rPr>
              <w:t>总计</w:t>
            </w:r>
          </w:p>
        </w:tc>
        <w:tc>
          <w:tcPr>
            <w:tcW w:w="706" w:type="dxa"/>
            <w:tcBorders>
              <w:top w:val="single" w:color="000000" w:sz="4" w:space="0"/>
              <w:bottom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b/>
                <w:bCs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b/>
                <w:bCs/>
                <w:color w:val="2E2E2E"/>
                <w:kern w:val="0"/>
                <w:szCs w:val="21"/>
              </w:rPr>
              <w:t>13</w:t>
            </w:r>
          </w:p>
        </w:tc>
        <w:tc>
          <w:tcPr>
            <w:tcW w:w="604" w:type="dxa"/>
            <w:tcBorders>
              <w:top w:val="single" w:color="000000" w:sz="4" w:space="0"/>
              <w:bottom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b/>
                <w:bCs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b/>
                <w:bCs/>
                <w:color w:val="2E2E2E"/>
                <w:kern w:val="0"/>
                <w:szCs w:val="21"/>
              </w:rPr>
              <w:t>38</w:t>
            </w:r>
          </w:p>
        </w:tc>
        <w:tc>
          <w:tcPr>
            <w:tcW w:w="604" w:type="dxa"/>
            <w:tcBorders>
              <w:top w:val="single" w:color="000000" w:sz="4" w:space="0"/>
              <w:bottom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b/>
                <w:bCs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b/>
                <w:bCs/>
                <w:color w:val="2E2E2E"/>
                <w:kern w:val="0"/>
                <w:szCs w:val="21"/>
              </w:rPr>
              <w:t>65</w:t>
            </w:r>
          </w:p>
        </w:tc>
        <w:tc>
          <w:tcPr>
            <w:tcW w:w="604" w:type="dxa"/>
            <w:tcBorders>
              <w:top w:val="single" w:color="000000" w:sz="4" w:space="0"/>
              <w:bottom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b/>
                <w:bCs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b/>
                <w:bCs/>
                <w:color w:val="2E2E2E"/>
                <w:kern w:val="0"/>
                <w:szCs w:val="21"/>
              </w:rPr>
              <w:t>37</w:t>
            </w:r>
          </w:p>
        </w:tc>
        <w:tc>
          <w:tcPr>
            <w:tcW w:w="604" w:type="dxa"/>
            <w:tcBorders>
              <w:top w:val="single" w:color="000000" w:sz="4" w:space="0"/>
              <w:bottom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b/>
                <w:bCs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b/>
                <w:bCs/>
                <w:color w:val="2E2E2E"/>
                <w:kern w:val="0"/>
                <w:szCs w:val="21"/>
              </w:rPr>
              <w:t>53</w:t>
            </w:r>
          </w:p>
        </w:tc>
        <w:tc>
          <w:tcPr>
            <w:tcW w:w="592" w:type="dxa"/>
            <w:tcBorders>
              <w:top w:val="single" w:color="000000" w:sz="4" w:space="0"/>
              <w:bottom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b/>
                <w:bCs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b/>
                <w:bCs/>
                <w:color w:val="2E2E2E"/>
                <w:kern w:val="0"/>
                <w:szCs w:val="21"/>
              </w:rPr>
              <w:t>8</w:t>
            </w:r>
          </w:p>
        </w:tc>
        <w:tc>
          <w:tcPr>
            <w:tcW w:w="680" w:type="dxa"/>
            <w:tcBorders>
              <w:top w:val="single" w:color="000000" w:sz="4" w:space="0"/>
              <w:bottom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b/>
                <w:bCs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b/>
                <w:bCs/>
                <w:color w:val="2E2E2E"/>
                <w:kern w:val="0"/>
                <w:szCs w:val="21"/>
              </w:rPr>
              <w:t>22</w:t>
            </w:r>
          </w:p>
        </w:tc>
        <w:tc>
          <w:tcPr>
            <w:tcW w:w="604" w:type="dxa"/>
            <w:tcBorders>
              <w:top w:val="single" w:color="000000" w:sz="4" w:space="0"/>
              <w:bottom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b/>
                <w:bCs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b/>
                <w:bCs/>
                <w:color w:val="2E2E2E"/>
                <w:kern w:val="0"/>
                <w:szCs w:val="21"/>
              </w:rPr>
              <w:t>28</w:t>
            </w:r>
          </w:p>
        </w:tc>
        <w:tc>
          <w:tcPr>
            <w:tcW w:w="592" w:type="dxa"/>
            <w:tcBorders>
              <w:top w:val="single" w:color="000000" w:sz="4" w:space="0"/>
              <w:bottom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b/>
                <w:bCs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b/>
                <w:bCs/>
                <w:color w:val="2E2E2E"/>
                <w:kern w:val="0"/>
                <w:szCs w:val="21"/>
              </w:rPr>
              <w:t>7</w:t>
            </w:r>
          </w:p>
        </w:tc>
        <w:tc>
          <w:tcPr>
            <w:tcW w:w="655" w:type="dxa"/>
            <w:tcBorders>
              <w:top w:val="single" w:color="000000" w:sz="4" w:space="0"/>
              <w:bottom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b/>
                <w:bCs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b/>
                <w:bCs/>
                <w:color w:val="2E2E2E"/>
                <w:kern w:val="0"/>
                <w:szCs w:val="21"/>
              </w:rPr>
              <w:t>1</w:t>
            </w:r>
            <w:r>
              <w:rPr>
                <w:rFonts w:hint="eastAsia" w:ascii="Arial" w:hAnsi="Arial" w:eastAsia="仿宋_GB2312" w:cs="Arial"/>
                <w:b/>
                <w:bCs/>
                <w:color w:val="2E2E2E"/>
                <w:kern w:val="0"/>
                <w:szCs w:val="21"/>
              </w:rPr>
              <w:t>31</w:t>
            </w:r>
          </w:p>
        </w:tc>
        <w:tc>
          <w:tcPr>
            <w:tcW w:w="592" w:type="dxa"/>
            <w:tcBorders>
              <w:top w:val="single" w:color="000000" w:sz="4" w:space="0"/>
              <w:bottom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b/>
                <w:bCs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b/>
                <w:bCs/>
                <w:color w:val="2E2E2E"/>
                <w:kern w:val="0"/>
                <w:szCs w:val="21"/>
              </w:rPr>
              <w:t>7</w:t>
            </w:r>
          </w:p>
        </w:tc>
        <w:tc>
          <w:tcPr>
            <w:tcW w:w="629" w:type="dxa"/>
            <w:tcBorders>
              <w:top w:val="single" w:color="000000" w:sz="4" w:space="0"/>
              <w:bottom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Arial" w:hAnsi="Arial" w:eastAsia="仿宋_GB2312" w:cs="Arial"/>
                <w:b/>
                <w:bCs/>
                <w:color w:val="2E2E2E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b/>
                <w:bCs/>
                <w:color w:val="2E2E2E"/>
                <w:kern w:val="0"/>
                <w:szCs w:val="21"/>
              </w:rPr>
              <w:t>40</w:t>
            </w:r>
            <w:r>
              <w:rPr>
                <w:rFonts w:hint="eastAsia" w:ascii="Arial" w:hAnsi="Arial" w:eastAsia="仿宋_GB2312" w:cs="Arial"/>
                <w:b/>
                <w:bCs/>
                <w:color w:val="2E2E2E"/>
                <w:kern w:val="0"/>
                <w:szCs w:val="21"/>
              </w:rPr>
              <w:t>9</w:t>
            </w:r>
          </w:p>
        </w:tc>
      </w:tr>
    </w:tbl>
    <w:p>
      <w:pPr>
        <w:widowControl/>
        <w:shd w:val="clear" w:color="auto" w:fill="FFFFFF"/>
        <w:spacing w:line="326" w:lineRule="atLeast"/>
        <w:jc w:val="left"/>
        <w:rPr>
          <w:rFonts w:ascii="仿宋_GB2312" w:hAnsi="仿宋" w:eastAsia="仿宋_GB2312" w:cs="宋体"/>
          <w:b/>
          <w:color w:val="FFC000"/>
          <w:kern w:val="0"/>
          <w:sz w:val="22"/>
        </w:rPr>
      </w:pPr>
      <w:r>
        <w:rPr>
          <w:rFonts w:hint="eastAsia" w:ascii="仿宋_GB2312" w:hAnsi="仿宋" w:eastAsia="仿宋_GB2312" w:cs="宋体"/>
          <w:b/>
          <w:color w:val="FFC000"/>
          <w:kern w:val="0"/>
          <w:sz w:val="22"/>
        </w:rPr>
        <w:t>具体职位可参见华润置地校园招聘网站发布内容:</w:t>
      </w:r>
      <w:r>
        <w:fldChar w:fldCharType="begin"/>
      </w:r>
      <w:r>
        <w:instrText xml:space="preserve">HYPERLINK "qq://txfile/" </w:instrText>
      </w:r>
      <w:r>
        <w:fldChar w:fldCharType="separate"/>
      </w:r>
      <w:r>
        <w:rPr>
          <w:rFonts w:hint="eastAsia" w:ascii="仿宋_GB2312" w:hAnsi="仿宋" w:eastAsia="仿宋_GB2312" w:cs="宋体"/>
          <w:b/>
          <w:color w:val="FFC000"/>
          <w:kern w:val="0"/>
          <w:sz w:val="22"/>
        </w:rPr>
        <w:t>http://hr.crland.com.hk/SchoolRecruitment/SchoolRecruitment.aspx</w:t>
      </w:r>
      <w:r>
        <w:fldChar w:fldCharType="end"/>
      </w:r>
    </w:p>
    <w:p>
      <w:pPr>
        <w:widowControl/>
        <w:shd w:val="clear" w:color="auto" w:fill="FFFFFF"/>
        <w:spacing w:line="326" w:lineRule="atLeast"/>
        <w:jc w:val="left"/>
        <w:rPr>
          <w:rFonts w:ascii="仿宋_GB2312" w:hAnsi="仿宋" w:eastAsia="仿宋_GB2312" w:cs="宋体"/>
          <w:color w:val="2E2E2E"/>
          <w:kern w:val="0"/>
          <w:sz w:val="22"/>
        </w:rPr>
      </w:pPr>
    </w:p>
    <w:tbl>
      <w:tblPr>
        <w:tblW w:w="8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534"/>
        <w:gridCol w:w="1329"/>
        <w:gridCol w:w="3632"/>
        <w:gridCol w:w="3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60" w:hRule="atLeast"/>
          <w:tblHeader/>
        </w:trPr>
        <w:tc>
          <w:tcPr>
            <w:tcW w:w="534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329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Cs w:val="21"/>
              </w:rPr>
              <w:t>岗位类别</w:t>
            </w:r>
          </w:p>
        </w:tc>
        <w:tc>
          <w:tcPr>
            <w:tcW w:w="3632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Cs w:val="21"/>
              </w:rPr>
              <w:t>主要岗位职责</w:t>
            </w:r>
          </w:p>
        </w:tc>
        <w:tc>
          <w:tcPr>
            <w:tcW w:w="3027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Cs w:val="21"/>
              </w:rPr>
              <w:t>相关专业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17" w:hRule="atLeast"/>
        </w:trPr>
        <w:tc>
          <w:tcPr>
            <w:tcW w:w="534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29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投资运营开发类</w:t>
            </w:r>
          </w:p>
        </w:tc>
        <w:tc>
          <w:tcPr>
            <w:tcW w:w="3632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333333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333333"/>
                <w:kern w:val="0"/>
                <w:szCs w:val="21"/>
              </w:rPr>
              <w:t>主要负责项目拓展、开发报建、计划运营等工作。</w:t>
            </w:r>
          </w:p>
        </w:tc>
        <w:tc>
          <w:tcPr>
            <w:tcW w:w="3027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经济学，房地产经营管理，土地资质管理，工程管理，金融，管理科学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58" w:hRule="atLeast"/>
        </w:trPr>
        <w:tc>
          <w:tcPr>
            <w:tcW w:w="534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29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设计管理类</w:t>
            </w:r>
          </w:p>
        </w:tc>
        <w:tc>
          <w:tcPr>
            <w:tcW w:w="3632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主要负责建筑、景观、水暖电、室内等专业的设计管理与规划工作。</w:t>
            </w:r>
          </w:p>
        </w:tc>
        <w:tc>
          <w:tcPr>
            <w:tcW w:w="3027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建筑学，城市规划，室内，景观，结构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17" w:hRule="atLeast"/>
        </w:trPr>
        <w:tc>
          <w:tcPr>
            <w:tcW w:w="534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329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工程管理类</w:t>
            </w:r>
          </w:p>
        </w:tc>
        <w:tc>
          <w:tcPr>
            <w:tcW w:w="3632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主要负责项目现场土建、机电等专业现场协调管理。</w:t>
            </w:r>
          </w:p>
        </w:tc>
        <w:tc>
          <w:tcPr>
            <w:tcW w:w="3027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土木，结构，建筑电气，自动化，暖通，建环，工程管理，给排水，市政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58" w:hRule="atLeast"/>
        </w:trPr>
        <w:tc>
          <w:tcPr>
            <w:tcW w:w="534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329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成本/招采类</w:t>
            </w:r>
          </w:p>
        </w:tc>
        <w:tc>
          <w:tcPr>
            <w:tcW w:w="3632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主要负责成本管控、招标采购等工作。</w:t>
            </w:r>
          </w:p>
        </w:tc>
        <w:tc>
          <w:tcPr>
            <w:tcW w:w="3027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工程类、管理科学工程，工程造价，材料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58" w:hRule="atLeast"/>
        </w:trPr>
        <w:tc>
          <w:tcPr>
            <w:tcW w:w="534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329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营销管理类</w:t>
            </w:r>
          </w:p>
        </w:tc>
        <w:tc>
          <w:tcPr>
            <w:tcW w:w="3632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333333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333333"/>
                <w:kern w:val="0"/>
                <w:szCs w:val="21"/>
              </w:rPr>
              <w:t>主要负责项目的营销策划、销售管理及企业品牌形象宣传等管理工作。</w:t>
            </w:r>
          </w:p>
        </w:tc>
        <w:tc>
          <w:tcPr>
            <w:tcW w:w="3027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新闻，中文，市场，经管类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41" w:hRule="atLeast"/>
        </w:trPr>
        <w:tc>
          <w:tcPr>
            <w:tcW w:w="534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329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客户服务类</w:t>
            </w:r>
          </w:p>
        </w:tc>
        <w:tc>
          <w:tcPr>
            <w:tcW w:w="3632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主要负责客户投诉、后期维保等工作。</w:t>
            </w:r>
          </w:p>
        </w:tc>
        <w:tc>
          <w:tcPr>
            <w:tcW w:w="3027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工程类，经管类，语言类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17" w:hRule="atLeast"/>
        </w:trPr>
        <w:tc>
          <w:tcPr>
            <w:tcW w:w="534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329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人事行政/法律类</w:t>
            </w:r>
          </w:p>
        </w:tc>
        <w:tc>
          <w:tcPr>
            <w:tcW w:w="3632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333333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333333"/>
                <w:kern w:val="0"/>
                <w:szCs w:val="21"/>
              </w:rPr>
              <w:t>主要负责人力资源或法律事务相关管理工作。</w:t>
            </w:r>
          </w:p>
        </w:tc>
        <w:tc>
          <w:tcPr>
            <w:tcW w:w="3027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人力，工商，企业管理，行政管理，新闻，汉语，法学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58" w:hRule="atLeast"/>
        </w:trPr>
        <w:tc>
          <w:tcPr>
            <w:tcW w:w="534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329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财务管理类</w:t>
            </w:r>
          </w:p>
        </w:tc>
        <w:tc>
          <w:tcPr>
            <w:tcW w:w="3632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333333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333333"/>
                <w:kern w:val="0"/>
                <w:szCs w:val="21"/>
              </w:rPr>
              <w:t>主要负责会计核算、资金管理、税务管理、内控、对外融资及贷后管理等工作。</w:t>
            </w:r>
          </w:p>
        </w:tc>
        <w:tc>
          <w:tcPr>
            <w:tcW w:w="3027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会计，财务管理，税务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58" w:hRule="atLeast"/>
        </w:trPr>
        <w:tc>
          <w:tcPr>
            <w:tcW w:w="534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329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信息管理类</w:t>
            </w:r>
          </w:p>
        </w:tc>
        <w:tc>
          <w:tcPr>
            <w:tcW w:w="3632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主要负责日常IT运维、信息化管理、商场信息化建设与运维等工作。</w:t>
            </w:r>
          </w:p>
        </w:tc>
        <w:tc>
          <w:tcPr>
            <w:tcW w:w="3027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计算机，通信工程，信息技术，网络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58" w:hRule="atLeast"/>
        </w:trPr>
        <w:tc>
          <w:tcPr>
            <w:tcW w:w="534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329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商业管理类</w:t>
            </w:r>
          </w:p>
        </w:tc>
        <w:tc>
          <w:tcPr>
            <w:tcW w:w="3632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333333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333333"/>
                <w:kern w:val="0"/>
                <w:szCs w:val="21"/>
              </w:rPr>
              <w:t>主要负责商业项目（万象城、万象汇、1234space）招商、营运、推广工作。</w:t>
            </w:r>
          </w:p>
        </w:tc>
        <w:tc>
          <w:tcPr>
            <w:tcW w:w="3027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语言类，经管类，新闻类、工程类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58" w:hRule="atLeast"/>
        </w:trPr>
        <w:tc>
          <w:tcPr>
            <w:tcW w:w="534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329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物业管理类</w:t>
            </w:r>
          </w:p>
        </w:tc>
        <w:tc>
          <w:tcPr>
            <w:tcW w:w="3632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333333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333333"/>
                <w:kern w:val="0"/>
                <w:szCs w:val="21"/>
              </w:rPr>
              <w:t>主要负责各城市项目物业管理工作。</w:t>
            </w:r>
          </w:p>
        </w:tc>
        <w:tc>
          <w:tcPr>
            <w:tcW w:w="3027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工程类，经管类，物业管理类</w:t>
            </w:r>
          </w:p>
        </w:tc>
      </w:tr>
    </w:tbl>
    <w:p>
      <w:pPr>
        <w:widowControl/>
        <w:shd w:val="clear" w:color="auto" w:fill="FFFFFF"/>
        <w:spacing w:line="326" w:lineRule="atLeast"/>
        <w:jc w:val="left"/>
        <w:rPr>
          <w:rFonts w:ascii="仿宋" w:hAnsi="仿宋" w:eastAsia="仿宋" w:cs="宋体"/>
          <w:color w:val="FFC000"/>
          <w:kern w:val="0"/>
          <w:sz w:val="20"/>
          <w:szCs w:val="20"/>
        </w:rPr>
      </w:pPr>
    </w:p>
    <w:p>
      <w:pPr>
        <w:pStyle w:val="8"/>
        <w:widowControl/>
        <w:numPr>
          <w:ilvl w:val="0"/>
          <w:numId w:val="1"/>
        </w:numPr>
        <w:shd w:val="clear" w:color="auto" w:fill="FFFFFF"/>
        <w:spacing w:line="326" w:lineRule="atLeast"/>
        <w:ind w:firstLineChars="0"/>
        <w:jc w:val="left"/>
        <w:rPr>
          <w:rFonts w:ascii="黑体" w:hAnsi="黑体" w:eastAsia="黑体" w:cs="宋体"/>
          <w:b/>
          <w:color w:val="FFC000"/>
          <w:kern w:val="0"/>
          <w:sz w:val="22"/>
        </w:rPr>
      </w:pPr>
      <w:r>
        <w:rPr>
          <w:rFonts w:hint="eastAsia" w:ascii="黑体" w:hAnsi="黑体" w:eastAsia="黑体" w:cs="宋体"/>
          <w:b/>
          <w:color w:val="FFC000"/>
          <w:kern w:val="0"/>
          <w:sz w:val="22"/>
        </w:rPr>
        <w:t>【宣讲会行程】</w:t>
      </w:r>
    </w:p>
    <w:tbl>
      <w:tblPr>
        <w:tblW w:w="852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986"/>
        <w:gridCol w:w="2611"/>
        <w:gridCol w:w="39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71" w:hRule="atLeast"/>
        </w:trPr>
        <w:tc>
          <w:tcPr>
            <w:tcW w:w="85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" w:eastAsia="仿宋_GB2312" w:cs="宋体"/>
                <w:b/>
                <w:color w:val="000000"/>
                <w:kern w:val="0"/>
                <w:sz w:val="22"/>
              </w:rPr>
              <w:t>华润置地校园招聘行程表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71" w:hRule="atLeast"/>
        </w:trPr>
        <w:tc>
          <w:tcPr>
            <w:tcW w:w="19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Cs w:val="21"/>
              </w:rPr>
              <w:t>目标院校</w:t>
            </w:r>
          </w:p>
        </w:tc>
        <w:tc>
          <w:tcPr>
            <w:tcW w:w="2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Cs w:val="21"/>
              </w:rPr>
              <w:t>宣讲时间</w:t>
            </w:r>
          </w:p>
        </w:tc>
        <w:tc>
          <w:tcPr>
            <w:tcW w:w="3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Cs w:val="21"/>
              </w:rPr>
              <w:t>宣讲地点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71" w:hRule="atLeast"/>
        </w:trPr>
        <w:tc>
          <w:tcPr>
            <w:tcW w:w="19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南京大学</w:t>
            </w:r>
          </w:p>
        </w:tc>
        <w:tc>
          <w:tcPr>
            <w:tcW w:w="2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10月16日14:00</w:t>
            </w:r>
          </w:p>
        </w:tc>
        <w:tc>
          <w:tcPr>
            <w:tcW w:w="3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鼓楼校区科技楼一楼报告厅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71" w:hRule="atLeast"/>
        </w:trPr>
        <w:tc>
          <w:tcPr>
            <w:tcW w:w="19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武汉大学</w:t>
            </w:r>
          </w:p>
        </w:tc>
        <w:tc>
          <w:tcPr>
            <w:tcW w:w="2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10月20日14:30</w:t>
            </w:r>
          </w:p>
        </w:tc>
        <w:tc>
          <w:tcPr>
            <w:tcW w:w="3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经济与管理学院报告厅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71" w:hRule="atLeast"/>
        </w:trPr>
        <w:tc>
          <w:tcPr>
            <w:tcW w:w="19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华中科技大学</w:t>
            </w:r>
          </w:p>
        </w:tc>
        <w:tc>
          <w:tcPr>
            <w:tcW w:w="2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10月21日14:30</w:t>
            </w:r>
          </w:p>
        </w:tc>
        <w:tc>
          <w:tcPr>
            <w:tcW w:w="3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机械学院报告厅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71" w:hRule="atLeast"/>
        </w:trPr>
        <w:tc>
          <w:tcPr>
            <w:tcW w:w="19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重庆大学</w:t>
            </w:r>
          </w:p>
        </w:tc>
        <w:tc>
          <w:tcPr>
            <w:tcW w:w="2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10月24日14:00</w:t>
            </w:r>
          </w:p>
        </w:tc>
        <w:tc>
          <w:tcPr>
            <w:tcW w:w="3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民主湖报告厅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71" w:hRule="atLeast"/>
        </w:trPr>
        <w:tc>
          <w:tcPr>
            <w:tcW w:w="19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同济大学</w:t>
            </w:r>
          </w:p>
        </w:tc>
        <w:tc>
          <w:tcPr>
            <w:tcW w:w="2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10月30日14:00</w:t>
            </w:r>
          </w:p>
        </w:tc>
        <w:tc>
          <w:tcPr>
            <w:tcW w:w="3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四平校区129大礼堂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71" w:hRule="atLeast"/>
        </w:trPr>
        <w:tc>
          <w:tcPr>
            <w:tcW w:w="19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西安交通大学</w:t>
            </w:r>
          </w:p>
        </w:tc>
        <w:tc>
          <w:tcPr>
            <w:tcW w:w="2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11月03日</w:t>
            </w:r>
            <w:r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  <w:t>16:00</w:t>
            </w:r>
          </w:p>
        </w:tc>
        <w:tc>
          <w:tcPr>
            <w:tcW w:w="3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兴庆校区教二-100德育基地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71" w:hRule="atLeast"/>
        </w:trPr>
        <w:tc>
          <w:tcPr>
            <w:tcW w:w="19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清华大学</w:t>
            </w:r>
          </w:p>
        </w:tc>
        <w:tc>
          <w:tcPr>
            <w:tcW w:w="2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11月7日或8日　</w:t>
            </w:r>
          </w:p>
        </w:tc>
        <w:tc>
          <w:tcPr>
            <w:tcW w:w="3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待定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71" w:hRule="atLeast"/>
        </w:trPr>
        <w:tc>
          <w:tcPr>
            <w:tcW w:w="19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北京大学</w:t>
            </w:r>
          </w:p>
        </w:tc>
        <w:tc>
          <w:tcPr>
            <w:tcW w:w="2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11月7日或8日　</w:t>
            </w:r>
          </w:p>
        </w:tc>
        <w:tc>
          <w:tcPr>
            <w:tcW w:w="3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470" w:firstLineChars="700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　待定</w:t>
            </w:r>
          </w:p>
        </w:tc>
      </w:tr>
    </w:tbl>
    <w:p>
      <w:pPr>
        <w:widowControl/>
        <w:shd w:val="clear" w:color="auto" w:fill="FFFFFF"/>
        <w:spacing w:line="326" w:lineRule="atLeast"/>
        <w:jc w:val="left"/>
        <w:rPr>
          <w:rFonts w:ascii="仿宋" w:hAnsi="仿宋" w:eastAsia="仿宋" w:cs="宋体"/>
          <w:b/>
          <w:color w:val="FF0000"/>
          <w:kern w:val="0"/>
          <w:sz w:val="20"/>
          <w:szCs w:val="20"/>
        </w:rPr>
      </w:pPr>
    </w:p>
    <w:p>
      <w:pPr>
        <w:pStyle w:val="8"/>
        <w:widowControl/>
        <w:numPr>
          <w:ilvl w:val="0"/>
          <w:numId w:val="1"/>
        </w:numPr>
        <w:shd w:val="clear" w:color="auto" w:fill="FFFFFF"/>
        <w:spacing w:line="326" w:lineRule="atLeast"/>
        <w:ind w:firstLineChars="0"/>
        <w:jc w:val="left"/>
        <w:rPr>
          <w:rFonts w:ascii="黑体" w:hAnsi="黑体" w:eastAsia="黑体" w:cs="宋体"/>
          <w:b/>
          <w:color w:val="FFC000"/>
          <w:kern w:val="0"/>
          <w:sz w:val="22"/>
        </w:rPr>
      </w:pPr>
      <w:r>
        <w:rPr>
          <w:rFonts w:hint="eastAsia" w:ascii="黑体" w:hAnsi="黑体" w:eastAsia="黑体" w:cs="宋体"/>
          <w:b/>
          <w:color w:val="FFC000"/>
          <w:kern w:val="0"/>
          <w:sz w:val="22"/>
        </w:rPr>
        <w:t>【招聘流程】</w:t>
      </w:r>
    </w:p>
    <w:p>
      <w:pPr>
        <w:pStyle w:val="8"/>
        <w:widowControl/>
        <w:numPr>
          <w:ilvl w:val="0"/>
          <w:numId w:val="2"/>
        </w:numPr>
        <w:shd w:val="clear" w:color="auto" w:fill="FFFFFF"/>
        <w:spacing w:line="326" w:lineRule="atLeast"/>
        <w:ind w:left="426" w:firstLine="0" w:firstLineChars="0"/>
        <w:rPr>
          <w:rFonts w:ascii="仿宋_GB2312" w:hAnsi="仿宋" w:eastAsia="仿宋_GB2312" w:cs="宋体"/>
          <w:b/>
          <w:color w:val="2E2E2E"/>
          <w:kern w:val="0"/>
          <w:sz w:val="22"/>
        </w:rPr>
      </w:pPr>
      <w:r>
        <w:rPr>
          <w:rFonts w:hint="eastAsia" w:ascii="仿宋_GB2312" w:hAnsi="仿宋" w:eastAsia="仿宋_GB2312" w:cs="Times New Roman"/>
          <w:b/>
          <w:color w:val="2E2E2E"/>
          <w:kern w:val="0"/>
          <w:sz w:val="22"/>
        </w:rPr>
        <w:t>投递简历</w:t>
      </w:r>
    </w:p>
    <w:p>
      <w:pPr>
        <w:widowControl/>
        <w:shd w:val="clear" w:color="auto" w:fill="FFFFFF"/>
        <w:spacing w:line="326" w:lineRule="atLeast"/>
        <w:ind w:left="424" w:leftChars="202"/>
        <w:rPr>
          <w:rFonts w:ascii="仿宋_GB2312" w:hAnsi="仿宋" w:eastAsia="仿宋_GB2312" w:cs="宋体"/>
          <w:b/>
          <w:color w:val="FFC000"/>
          <w:kern w:val="0"/>
          <w:sz w:val="22"/>
        </w:rPr>
      </w:pPr>
      <w:r>
        <w:rPr>
          <w:rFonts w:hint="eastAsia" w:ascii="仿宋_GB2312" w:hAnsi="仿宋" w:eastAsia="仿宋_GB2312" w:cs="Times New Roman"/>
          <w:color w:val="2E2E2E"/>
          <w:kern w:val="0"/>
          <w:sz w:val="22"/>
        </w:rPr>
        <w:t>应聘者可以通过以下两种途径来申请。</w:t>
      </w:r>
      <w:r>
        <w:rPr>
          <w:rFonts w:hint="eastAsia" w:ascii="仿宋_GB2312" w:hAnsi="仿宋" w:eastAsia="仿宋_GB2312" w:cs="Times New Roman"/>
          <w:b/>
          <w:color w:val="FFC000"/>
          <w:kern w:val="0"/>
          <w:sz w:val="22"/>
        </w:rPr>
        <w:t>每位同学最多可选择2</w:t>
      </w:r>
      <w:r>
        <w:rPr>
          <w:rFonts w:hint="eastAsia" w:ascii="仿宋_GB2312" w:hAnsi="仿宋" w:eastAsia="仿宋_GB2312" w:cs="宋体"/>
          <w:b/>
          <w:color w:val="FFC000"/>
          <w:kern w:val="0"/>
          <w:sz w:val="22"/>
        </w:rPr>
        <w:t>个职位，我们会优先考虑第一志愿，所以在选择申请的首个职位时请慎重考虑。</w:t>
      </w:r>
    </w:p>
    <w:p>
      <w:pPr>
        <w:pStyle w:val="8"/>
        <w:widowControl/>
        <w:numPr>
          <w:ilvl w:val="0"/>
          <w:numId w:val="3"/>
        </w:numPr>
        <w:shd w:val="clear" w:color="auto" w:fill="FFFFFF"/>
        <w:spacing w:line="326" w:lineRule="atLeast"/>
        <w:ind w:hanging="405" w:firstLineChars="0"/>
        <w:jc w:val="left"/>
        <w:rPr>
          <w:rFonts w:ascii="仿宋_GB2312" w:hAnsi="仿宋" w:eastAsia="仿宋_GB2312" w:cs="Times New Roman"/>
          <w:color w:val="2E2E2E"/>
          <w:kern w:val="0"/>
          <w:sz w:val="22"/>
        </w:rPr>
      </w:pPr>
      <w:r>
        <w:rPr>
          <w:rFonts w:hint="eastAsia" w:ascii="仿宋_GB2312" w:hAnsi="仿宋" w:eastAsia="仿宋_GB2312" w:cs="Times New Roman"/>
          <w:kern w:val="0"/>
          <w:sz w:val="22"/>
        </w:rPr>
        <w:t>在线申请，可以访问华润置地招聘主页</w:t>
      </w:r>
      <w:r>
        <w:fldChar w:fldCharType="begin"/>
      </w:r>
      <w:r>
        <w:instrText xml:space="preserve">HYPERLINK "http://hr.crland.com.hk/SchoolRecruitment/CompanyList.aspx" </w:instrText>
      </w:r>
      <w:r>
        <w:fldChar w:fldCharType="separate"/>
      </w:r>
      <w:r>
        <w:rPr>
          <w:rStyle w:val="7"/>
          <w:rFonts w:ascii="仿宋_GB2312" w:hAnsi="仿宋" w:eastAsia="仿宋_GB2312" w:cs="宋体"/>
          <w:b/>
          <w:color w:val="FFC000"/>
          <w:kern w:val="0"/>
          <w:sz w:val="22"/>
        </w:rPr>
        <w:t>http://hr.crland.com.hk/SchoolRecruitment/SchoolRecruitment.aspx</w:t>
      </w:r>
      <w:r>
        <w:fldChar w:fldCharType="end"/>
      </w:r>
      <w:r>
        <w:rPr>
          <w:rFonts w:hint="eastAsia" w:ascii="仿宋_GB2312" w:hAnsi="仿宋" w:eastAsia="仿宋_GB2312" w:cs="Times New Roman"/>
          <w:color w:val="2E2E2E"/>
          <w:kern w:val="0"/>
          <w:sz w:val="22"/>
        </w:rPr>
        <w:t>，在线填写简历，申请具体职位。</w:t>
      </w:r>
    </w:p>
    <w:p>
      <w:pPr>
        <w:pStyle w:val="8"/>
        <w:widowControl/>
        <w:numPr>
          <w:ilvl w:val="0"/>
          <w:numId w:val="3"/>
        </w:numPr>
        <w:shd w:val="clear" w:color="auto" w:fill="FFFFFF"/>
        <w:spacing w:line="326" w:lineRule="atLeast"/>
        <w:ind w:hanging="405" w:firstLineChars="0"/>
        <w:rPr>
          <w:rFonts w:ascii="仿宋_GB2312" w:hAnsi="仿宋" w:eastAsia="仿宋_GB2312" w:cs="Times New Roman"/>
          <w:kern w:val="0"/>
          <w:sz w:val="22"/>
        </w:rPr>
      </w:pPr>
      <w:r>
        <w:rPr>
          <w:rFonts w:hint="eastAsia" w:ascii="仿宋_GB2312" w:hAnsi="仿宋" w:eastAsia="仿宋_GB2312" w:cs="Times New Roman"/>
          <w:kern w:val="0"/>
          <w:sz w:val="22"/>
        </w:rPr>
        <w:t>校园宣讲会现场投递简历</w:t>
      </w:r>
    </w:p>
    <w:p>
      <w:pPr>
        <w:pStyle w:val="8"/>
        <w:widowControl/>
        <w:numPr>
          <w:ilvl w:val="0"/>
          <w:numId w:val="2"/>
        </w:numPr>
        <w:shd w:val="clear" w:color="auto" w:fill="FFFFFF"/>
        <w:spacing w:line="326" w:lineRule="atLeast"/>
        <w:ind w:firstLineChars="0"/>
        <w:rPr>
          <w:rFonts w:ascii="仿宋_GB2312" w:hAnsi="仿宋" w:eastAsia="仿宋_GB2312" w:cs="宋体"/>
          <w:b/>
          <w:color w:val="2E2E2E"/>
          <w:kern w:val="0"/>
          <w:sz w:val="22"/>
        </w:rPr>
      </w:pPr>
      <w:r>
        <w:rPr>
          <w:rFonts w:hint="eastAsia" w:ascii="仿宋_GB2312" w:hAnsi="仿宋" w:eastAsia="仿宋_GB2312" w:cs="Times New Roman"/>
          <w:b/>
          <w:color w:val="2E2E2E"/>
          <w:kern w:val="0"/>
          <w:sz w:val="22"/>
        </w:rPr>
        <w:t>口试</w:t>
      </w:r>
    </w:p>
    <w:p>
      <w:pPr>
        <w:widowControl/>
        <w:shd w:val="clear" w:color="auto" w:fill="FFFFFF"/>
        <w:spacing w:line="326" w:lineRule="atLeast"/>
        <w:ind w:left="850" w:leftChars="405"/>
        <w:rPr>
          <w:rFonts w:ascii="仿宋_GB2312" w:hAnsi="仿宋" w:eastAsia="仿宋_GB2312" w:cs="宋体"/>
          <w:color w:val="2E2E2E"/>
          <w:kern w:val="0"/>
          <w:sz w:val="22"/>
        </w:rPr>
      </w:pPr>
      <w:r>
        <w:rPr>
          <w:rFonts w:hint="eastAsia" w:ascii="仿宋_GB2312" w:hAnsi="仿宋" w:eastAsia="仿宋_GB2312" w:cs="Times New Roman"/>
          <w:color w:val="2E2E2E"/>
          <w:kern w:val="0"/>
          <w:sz w:val="22"/>
        </w:rPr>
        <w:t>对通过简历筛选的同学，我们将通过电话、短信或邮件的方式通知参加口试（1.5分钟即兴演讲）。</w:t>
      </w:r>
    </w:p>
    <w:p>
      <w:pPr>
        <w:pStyle w:val="8"/>
        <w:widowControl/>
        <w:numPr>
          <w:ilvl w:val="0"/>
          <w:numId w:val="2"/>
        </w:numPr>
        <w:shd w:val="clear" w:color="auto" w:fill="FFFFFF"/>
        <w:spacing w:line="326" w:lineRule="atLeast"/>
        <w:ind w:firstLineChars="0"/>
        <w:rPr>
          <w:rFonts w:ascii="仿宋_GB2312" w:hAnsi="仿宋" w:eastAsia="仿宋_GB2312" w:cs="宋体"/>
          <w:b/>
          <w:color w:val="2E2E2E"/>
          <w:kern w:val="0"/>
          <w:sz w:val="22"/>
        </w:rPr>
      </w:pPr>
      <w:r>
        <w:rPr>
          <w:rFonts w:hint="eastAsia" w:ascii="仿宋_GB2312" w:hAnsi="仿宋" w:eastAsia="仿宋_GB2312" w:cs="Times New Roman"/>
          <w:b/>
          <w:color w:val="2E2E2E"/>
          <w:kern w:val="0"/>
          <w:sz w:val="22"/>
        </w:rPr>
        <w:t>复试(2轮)</w:t>
      </w:r>
    </w:p>
    <w:p>
      <w:pPr>
        <w:widowControl/>
        <w:shd w:val="clear" w:color="auto" w:fill="FFFFFF"/>
        <w:spacing w:line="326" w:lineRule="atLeast"/>
        <w:ind w:left="850" w:leftChars="405"/>
        <w:rPr>
          <w:rFonts w:ascii="仿宋_GB2312" w:hAnsi="仿宋" w:eastAsia="仿宋_GB2312" w:cs="Times New Roman"/>
          <w:color w:val="2E2E2E"/>
          <w:kern w:val="0"/>
          <w:sz w:val="22"/>
        </w:rPr>
      </w:pPr>
      <w:r>
        <w:rPr>
          <w:rFonts w:hint="eastAsia" w:ascii="仿宋_GB2312" w:hAnsi="仿宋" w:eastAsia="仿宋_GB2312" w:cs="Times New Roman"/>
          <w:color w:val="2E2E2E"/>
          <w:kern w:val="0"/>
          <w:sz w:val="22"/>
        </w:rPr>
        <w:t>包括无领导小组面试、人力资源面试（多对一、一对一）。</w:t>
      </w:r>
    </w:p>
    <w:p>
      <w:pPr>
        <w:widowControl/>
        <w:shd w:val="clear" w:color="auto" w:fill="FFFFFF"/>
        <w:spacing w:line="326" w:lineRule="atLeast"/>
        <w:ind w:left="850" w:leftChars="405"/>
        <w:rPr>
          <w:rFonts w:ascii="仿宋_GB2312" w:hAnsi="仿宋" w:eastAsia="仿宋_GB2312" w:cs="宋体"/>
          <w:color w:val="2E2E2E"/>
          <w:kern w:val="0"/>
          <w:sz w:val="22"/>
        </w:rPr>
      </w:pPr>
    </w:p>
    <w:p>
      <w:pPr>
        <w:pStyle w:val="8"/>
        <w:widowControl/>
        <w:numPr>
          <w:ilvl w:val="0"/>
          <w:numId w:val="2"/>
        </w:numPr>
        <w:shd w:val="clear" w:color="auto" w:fill="FFFFFF"/>
        <w:spacing w:line="326" w:lineRule="atLeast"/>
        <w:ind w:firstLineChars="0"/>
        <w:rPr>
          <w:rFonts w:ascii="仿宋_GB2312" w:hAnsi="仿宋" w:eastAsia="仿宋_GB2312" w:cs="宋体"/>
          <w:b/>
          <w:color w:val="2E2E2E"/>
          <w:kern w:val="0"/>
          <w:sz w:val="22"/>
        </w:rPr>
      </w:pPr>
      <w:r>
        <w:rPr>
          <w:rFonts w:hint="eastAsia" w:ascii="仿宋_GB2312" w:hAnsi="仿宋" w:eastAsia="仿宋_GB2312" w:cs="Times New Roman"/>
          <w:b/>
          <w:color w:val="2E2E2E"/>
          <w:kern w:val="0"/>
          <w:sz w:val="22"/>
        </w:rPr>
        <w:t>在线测评</w:t>
      </w:r>
    </w:p>
    <w:p>
      <w:pPr>
        <w:widowControl/>
        <w:shd w:val="clear" w:color="auto" w:fill="FFFFFF"/>
        <w:spacing w:line="326" w:lineRule="atLeast"/>
        <w:ind w:firstLine="880" w:firstLineChars="400"/>
        <w:rPr>
          <w:rFonts w:ascii="仿宋_GB2312" w:hAnsi="仿宋" w:eastAsia="仿宋_GB2312" w:cs="宋体"/>
          <w:color w:val="2E2E2E"/>
          <w:kern w:val="0"/>
          <w:sz w:val="22"/>
        </w:rPr>
      </w:pPr>
      <w:r>
        <w:rPr>
          <w:rFonts w:hint="eastAsia" w:ascii="仿宋_GB2312" w:hAnsi="仿宋" w:eastAsia="仿宋_GB2312" w:cs="Times New Roman"/>
          <w:color w:val="2E2E2E"/>
          <w:kern w:val="0"/>
          <w:sz w:val="22"/>
        </w:rPr>
        <w:t>通过人力资源复试的同学我们将统一安排能力素质模型测试。</w:t>
      </w:r>
    </w:p>
    <w:p>
      <w:pPr>
        <w:pStyle w:val="8"/>
        <w:widowControl/>
        <w:numPr>
          <w:ilvl w:val="0"/>
          <w:numId w:val="2"/>
        </w:numPr>
        <w:shd w:val="clear" w:color="auto" w:fill="FFFFFF"/>
        <w:spacing w:line="326" w:lineRule="atLeast"/>
        <w:ind w:firstLineChars="0"/>
        <w:rPr>
          <w:rFonts w:ascii="仿宋_GB2312" w:hAnsi="仿宋" w:eastAsia="仿宋_GB2312" w:cs="宋体"/>
          <w:b/>
          <w:color w:val="2E2E2E"/>
          <w:kern w:val="0"/>
          <w:sz w:val="22"/>
        </w:rPr>
      </w:pPr>
      <w:r>
        <w:rPr>
          <w:rFonts w:hint="eastAsia" w:ascii="仿宋_GB2312" w:hAnsi="仿宋" w:eastAsia="仿宋_GB2312" w:cs="宋体"/>
          <w:b/>
          <w:color w:val="2E2E2E"/>
          <w:kern w:val="0"/>
          <w:sz w:val="22"/>
        </w:rPr>
        <w:t>专业面试/终试</w:t>
      </w:r>
    </w:p>
    <w:p>
      <w:pPr>
        <w:pStyle w:val="8"/>
        <w:ind w:left="881" w:firstLine="0" w:firstLineChars="0"/>
        <w:rPr>
          <w:rFonts w:ascii="仿宋_GB2312" w:hAnsi="仿宋" w:eastAsia="仿宋_GB2312" w:cs="Times New Roman"/>
          <w:color w:val="2E2E2E"/>
          <w:kern w:val="0"/>
          <w:sz w:val="22"/>
        </w:rPr>
      </w:pPr>
      <w:r>
        <w:rPr>
          <w:rFonts w:hint="eastAsia" w:ascii="仿宋_GB2312" w:hAnsi="仿宋" w:eastAsia="仿宋_GB2312" w:cs="Times New Roman"/>
          <w:color w:val="2E2E2E"/>
          <w:kern w:val="0"/>
          <w:sz w:val="22"/>
        </w:rPr>
        <w:t>候选人将会接受应聘大区用人部门的专业面试和总经理面试。</w:t>
      </w:r>
    </w:p>
    <w:p>
      <w:pPr>
        <w:pStyle w:val="8"/>
        <w:widowControl/>
        <w:numPr>
          <w:ilvl w:val="0"/>
          <w:numId w:val="2"/>
        </w:numPr>
        <w:shd w:val="clear" w:color="auto" w:fill="FFFFFF"/>
        <w:spacing w:line="326" w:lineRule="atLeast"/>
        <w:ind w:firstLineChars="0"/>
        <w:rPr>
          <w:rFonts w:ascii="仿宋_GB2312" w:hAnsi="仿宋" w:eastAsia="仿宋_GB2312" w:cs="宋体"/>
          <w:b/>
          <w:color w:val="2E2E2E"/>
          <w:kern w:val="0"/>
          <w:sz w:val="22"/>
        </w:rPr>
      </w:pPr>
      <w:r>
        <w:rPr>
          <w:rFonts w:hint="eastAsia" w:ascii="仿宋_GB2312" w:hAnsi="仿宋" w:eastAsia="仿宋_GB2312" w:cs="Times New Roman"/>
          <w:b/>
          <w:color w:val="2E2E2E"/>
          <w:kern w:val="0"/>
          <w:sz w:val="22"/>
        </w:rPr>
        <w:t>录用签约</w:t>
      </w:r>
    </w:p>
    <w:p>
      <w:pPr>
        <w:widowControl/>
        <w:shd w:val="clear" w:color="auto" w:fill="FFFFFF"/>
        <w:spacing w:line="326" w:lineRule="atLeast"/>
        <w:ind w:left="850" w:leftChars="405"/>
        <w:rPr>
          <w:rFonts w:ascii="仿宋_GB2312" w:hAnsi="仿宋" w:eastAsia="仿宋_GB2312" w:cs="宋体"/>
          <w:color w:val="2E2E2E"/>
          <w:kern w:val="0"/>
          <w:sz w:val="22"/>
        </w:rPr>
      </w:pPr>
      <w:r>
        <w:rPr>
          <w:rFonts w:hint="eastAsia" w:ascii="仿宋_GB2312" w:hAnsi="仿宋" w:eastAsia="仿宋_GB2312" w:cs="Times New Roman"/>
          <w:color w:val="2E2E2E"/>
          <w:kern w:val="0"/>
          <w:sz w:val="22"/>
        </w:rPr>
        <w:t>拟录用名单将于最后一站校园招聘活动结束后1个月内确定，并于12月底之前发放“录用通知函”。</w:t>
      </w:r>
    </w:p>
    <w:p>
      <w:pPr>
        <w:widowControl/>
        <w:shd w:val="clear" w:color="auto" w:fill="FFFFFF"/>
        <w:spacing w:line="326" w:lineRule="atLeast"/>
        <w:ind w:left="850" w:leftChars="405"/>
        <w:rPr>
          <w:rFonts w:ascii="仿宋_GB2312" w:hAnsi="仿宋" w:eastAsia="仿宋_GB2312" w:cs="Times New Roman"/>
          <w:color w:val="2E2E2E"/>
          <w:kern w:val="0"/>
          <w:sz w:val="22"/>
        </w:rPr>
      </w:pPr>
      <w:r>
        <w:rPr>
          <w:rFonts w:hint="eastAsia" w:ascii="仿宋_GB2312" w:hAnsi="仿宋" w:eastAsia="仿宋_GB2312" w:cs="Times New Roman"/>
          <w:color w:val="2E2E2E"/>
          <w:kern w:val="0"/>
          <w:sz w:val="22"/>
        </w:rPr>
        <w:t>接受“录用通知函”的同学将与华润置地各大区签署《就业协议书》，成为华润“未来之星”。</w:t>
      </w:r>
    </w:p>
    <w:p>
      <w:pPr>
        <w:widowControl/>
        <w:shd w:val="clear" w:color="auto" w:fill="FFFFFF"/>
        <w:spacing w:line="326" w:lineRule="atLeast"/>
        <w:ind w:left="850" w:leftChars="405"/>
        <w:rPr>
          <w:rFonts w:ascii="仿宋_GB2312" w:hAnsi="仿宋" w:eastAsia="仿宋_GB2312" w:cs="宋体"/>
          <w:color w:val="2E2E2E"/>
          <w:kern w:val="0"/>
          <w:sz w:val="22"/>
        </w:rPr>
      </w:pPr>
    </w:p>
    <w:p>
      <w:pPr>
        <w:pStyle w:val="8"/>
        <w:widowControl/>
        <w:numPr>
          <w:ilvl w:val="0"/>
          <w:numId w:val="1"/>
        </w:numPr>
        <w:shd w:val="clear" w:color="auto" w:fill="FFFFFF"/>
        <w:spacing w:line="326" w:lineRule="atLeast"/>
        <w:ind w:firstLineChars="0"/>
        <w:jc w:val="left"/>
        <w:rPr>
          <w:rFonts w:ascii="仿宋" w:hAnsi="仿宋" w:eastAsia="仿宋" w:cs="宋体"/>
          <w:b/>
          <w:color w:val="FFC000"/>
          <w:kern w:val="0"/>
          <w:sz w:val="20"/>
          <w:szCs w:val="20"/>
        </w:rPr>
      </w:pPr>
      <w:r>
        <w:rPr>
          <w:rFonts w:hint="eastAsia" w:ascii="黑体" w:hAnsi="黑体" w:eastAsia="黑体" w:cs="宋体"/>
          <w:b/>
          <w:color w:val="FFC000"/>
          <w:kern w:val="0"/>
          <w:sz w:val="22"/>
        </w:rPr>
        <w:t>【应聘须知】</w:t>
      </w:r>
    </w:p>
    <w:p>
      <w:pPr>
        <w:pStyle w:val="8"/>
        <w:widowControl/>
        <w:numPr>
          <w:ilvl w:val="0"/>
          <w:numId w:val="4"/>
        </w:numPr>
        <w:shd w:val="clear" w:color="auto" w:fill="FFFFFF"/>
        <w:spacing w:line="326" w:lineRule="atLeast"/>
        <w:ind w:firstLineChars="0"/>
        <w:jc w:val="left"/>
        <w:rPr>
          <w:rFonts w:ascii="仿宋_GB2312" w:hAnsi="仿宋" w:eastAsia="仿宋_GB2312" w:cs="宋体"/>
          <w:color w:val="2E2E2E"/>
          <w:kern w:val="0"/>
          <w:sz w:val="22"/>
        </w:rPr>
      </w:pPr>
      <w:r>
        <w:rPr>
          <w:rFonts w:hint="eastAsia" w:ascii="仿宋_GB2312" w:hAnsi="仿宋" w:eastAsia="仿宋_GB2312" w:cs="宋体"/>
          <w:color w:val="2E2E2E"/>
          <w:kern w:val="0"/>
          <w:sz w:val="22"/>
        </w:rPr>
        <w:t>所有应聘人员须认同华润“简单、坦诚、阳光”的企业文化；</w:t>
      </w:r>
    </w:p>
    <w:p>
      <w:pPr>
        <w:pStyle w:val="8"/>
        <w:widowControl/>
        <w:numPr>
          <w:ilvl w:val="0"/>
          <w:numId w:val="4"/>
        </w:numPr>
        <w:shd w:val="clear" w:color="auto" w:fill="FFFFFF"/>
        <w:spacing w:line="326" w:lineRule="atLeast"/>
        <w:ind w:firstLineChars="0"/>
        <w:jc w:val="left"/>
        <w:rPr>
          <w:rFonts w:ascii="仿宋_GB2312" w:hAnsi="仿宋" w:eastAsia="仿宋_GB2312" w:cs="宋体"/>
          <w:color w:val="2E2E2E"/>
          <w:kern w:val="0"/>
          <w:sz w:val="22"/>
        </w:rPr>
      </w:pPr>
      <w:r>
        <w:rPr>
          <w:rFonts w:hint="eastAsia" w:ascii="仿宋_GB2312" w:hAnsi="仿宋" w:eastAsia="仿宋_GB2312" w:cs="宋体"/>
          <w:color w:val="2E2E2E"/>
          <w:kern w:val="0"/>
          <w:sz w:val="22"/>
        </w:rPr>
        <w:t>您可以选择两个职位，但是我们会优先考虑您的第一志愿；</w:t>
      </w:r>
    </w:p>
    <w:p>
      <w:pPr>
        <w:pStyle w:val="8"/>
        <w:widowControl/>
        <w:numPr>
          <w:ilvl w:val="0"/>
          <w:numId w:val="4"/>
        </w:numPr>
        <w:shd w:val="clear" w:color="auto" w:fill="FFFFFF"/>
        <w:spacing w:line="326" w:lineRule="atLeast"/>
        <w:ind w:firstLineChars="0"/>
        <w:jc w:val="left"/>
        <w:rPr>
          <w:rFonts w:ascii="仿宋_GB2312" w:hAnsi="仿宋" w:eastAsia="仿宋_GB2312" w:cs="宋体"/>
          <w:color w:val="2E2E2E"/>
          <w:kern w:val="0"/>
          <w:sz w:val="22"/>
        </w:rPr>
      </w:pPr>
      <w:r>
        <w:rPr>
          <w:rFonts w:hint="eastAsia" w:ascii="仿宋_GB2312" w:hAnsi="仿宋" w:eastAsia="仿宋_GB2312" w:cs="宋体"/>
          <w:color w:val="2E2E2E"/>
          <w:kern w:val="0"/>
          <w:sz w:val="22"/>
        </w:rPr>
        <w:t>建议您通过系统投递简历，我们收到您的简历会及时处理，并及时与您联系，网络投递截止时间为当地宣讲会前24小时。如果未能及时通过网络申请职位，您还可以在宣讲会现场投递简历，网上已经投递的不必在现场重复投递；</w:t>
      </w:r>
    </w:p>
    <w:p>
      <w:pPr>
        <w:pStyle w:val="8"/>
        <w:widowControl/>
        <w:numPr>
          <w:ilvl w:val="0"/>
          <w:numId w:val="4"/>
        </w:numPr>
        <w:shd w:val="clear" w:color="auto" w:fill="FFFFFF"/>
        <w:spacing w:line="326" w:lineRule="atLeast"/>
        <w:ind w:firstLineChars="0"/>
        <w:jc w:val="left"/>
        <w:rPr>
          <w:rFonts w:ascii="仿宋_GB2312" w:hAnsi="仿宋" w:eastAsia="仿宋_GB2312" w:cs="宋体"/>
          <w:color w:val="2E2E2E"/>
          <w:kern w:val="0"/>
          <w:sz w:val="22"/>
        </w:rPr>
      </w:pPr>
      <w:r>
        <w:rPr>
          <w:rFonts w:hint="eastAsia" w:ascii="仿宋_GB2312" w:hAnsi="仿宋" w:eastAsia="仿宋_GB2312" w:cs="宋体"/>
          <w:color w:val="2E2E2E"/>
          <w:kern w:val="0"/>
          <w:sz w:val="22"/>
        </w:rPr>
        <w:t>口试时请携带以下资料：身份证、个人简历、在校成绩单、所获得的英语或相关等级证书复印件、获奖证书或荣誉证明复印件，近期彩色生活照一张、其他需要递交的资料；</w:t>
      </w:r>
    </w:p>
    <w:p>
      <w:pPr>
        <w:pStyle w:val="8"/>
        <w:widowControl/>
        <w:numPr>
          <w:ilvl w:val="0"/>
          <w:numId w:val="4"/>
        </w:numPr>
        <w:shd w:val="clear" w:color="auto" w:fill="FFFFFF"/>
        <w:spacing w:line="326" w:lineRule="atLeast"/>
        <w:ind w:firstLineChars="0"/>
        <w:jc w:val="left"/>
        <w:rPr>
          <w:rFonts w:ascii="仿宋_GB2312" w:hAnsi="仿宋" w:eastAsia="仿宋_GB2312" w:cs="宋体"/>
          <w:color w:val="2E2E2E"/>
          <w:kern w:val="0"/>
          <w:sz w:val="22"/>
        </w:rPr>
      </w:pPr>
      <w:r>
        <w:rPr>
          <w:rFonts w:hint="eastAsia" w:ascii="仿宋_GB2312" w:hAnsi="仿宋" w:eastAsia="仿宋_GB2312" w:cs="宋体"/>
          <w:color w:val="2E2E2E"/>
          <w:kern w:val="0"/>
          <w:sz w:val="22"/>
        </w:rPr>
        <w:t>面试将以电话、短信、邮件及各大区微信的形式通知，请保持通讯畅通，并加应聘大区的微信。</w:t>
      </w:r>
    </w:p>
    <w:p>
      <w:pPr>
        <w:pStyle w:val="8"/>
        <w:widowControl/>
        <w:shd w:val="clear" w:color="auto" w:fill="FFFFFF"/>
        <w:spacing w:line="326" w:lineRule="atLeast"/>
        <w:ind w:left="900" w:firstLine="0" w:firstLineChars="0"/>
        <w:jc w:val="left"/>
        <w:rPr>
          <w:rFonts w:ascii="仿宋_GB2312" w:hAnsi="仿宋" w:eastAsia="仿宋_GB2312" w:cs="宋体"/>
          <w:color w:val="2E2E2E"/>
          <w:kern w:val="0"/>
          <w:sz w:val="22"/>
        </w:rPr>
      </w:pPr>
    </w:p>
    <w:p>
      <w:pPr>
        <w:pStyle w:val="8"/>
        <w:widowControl/>
        <w:numPr>
          <w:ilvl w:val="0"/>
          <w:numId w:val="1"/>
        </w:numPr>
        <w:shd w:val="clear" w:color="auto" w:fill="FFFFFF"/>
        <w:spacing w:line="326" w:lineRule="atLeast"/>
        <w:ind w:firstLineChars="0"/>
        <w:jc w:val="left"/>
        <w:rPr>
          <w:rFonts w:ascii="黑体" w:hAnsi="黑体" w:eastAsia="黑体" w:cs="宋体"/>
          <w:b/>
          <w:color w:val="FFC000"/>
          <w:kern w:val="0"/>
          <w:sz w:val="22"/>
        </w:rPr>
      </w:pPr>
      <w:r>
        <w:rPr>
          <w:rFonts w:ascii="黑体" w:hAnsi="黑体" w:eastAsia="黑体" w:cs="宋体"/>
          <w:b/>
          <w:color w:val="FFC000"/>
          <w:kern w:val="0"/>
          <w:sz w:val="22"/>
        </w:rPr>
        <w:t>【公司简介】</w:t>
      </w:r>
    </w:p>
    <w:p>
      <w:pPr>
        <w:pStyle w:val="8"/>
        <w:widowControl/>
        <w:shd w:val="clear" w:color="auto" w:fill="FFFFFF"/>
        <w:spacing w:line="326" w:lineRule="atLeast"/>
        <w:ind w:left="480" w:firstLine="0" w:firstLineChars="0"/>
        <w:jc w:val="left"/>
        <w:rPr>
          <w:rFonts w:ascii="黑体" w:hAnsi="黑体" w:eastAsia="黑体" w:cs="宋体"/>
          <w:b/>
          <w:color w:val="FFC000"/>
          <w:kern w:val="0"/>
          <w:sz w:val="22"/>
        </w:rPr>
      </w:pPr>
      <w:r>
        <w:rPr>
          <w:rFonts w:hint="eastAsia" w:ascii="黑体" w:hAnsi="黑体" w:eastAsia="黑体" w:cs="宋体"/>
          <w:b/>
          <w:color w:val="FFC000"/>
          <w:kern w:val="0"/>
          <w:sz w:val="22"/>
        </w:rPr>
        <w:t>华润置地</w:t>
      </w:r>
    </w:p>
    <w:p>
      <w:pPr>
        <w:widowControl/>
        <w:shd w:val="clear" w:color="auto" w:fill="FFFFFF"/>
        <w:spacing w:line="326" w:lineRule="exact"/>
        <w:ind w:firstLine="440" w:firstLineChars="200"/>
        <w:jc w:val="left"/>
        <w:rPr>
          <w:rFonts w:ascii="仿宋_GB2312" w:hAnsi="仿宋" w:eastAsia="仿宋_GB2312" w:cs="Times New Roman"/>
          <w:kern w:val="0"/>
          <w:sz w:val="22"/>
        </w:rPr>
      </w:pPr>
      <w:r>
        <w:rPr>
          <w:rFonts w:hint="eastAsia" w:ascii="仿宋_GB2312" w:hAnsi="仿宋" w:eastAsia="仿宋_GB2312" w:cs="Times New Roman"/>
          <w:kern w:val="0"/>
          <w:sz w:val="22"/>
        </w:rPr>
        <w:t>华润置地有限公司（HK1109）是华润集团旗下的地产业务旗舰，是中国内地最具实力的综合型地产开发商之一，从2010年3月8日起香港恒生指数有限公司把华润置地纳入恒生指数成份股，成为香港蓝筹之一。</w:t>
      </w:r>
    </w:p>
    <w:p>
      <w:pPr>
        <w:widowControl/>
        <w:shd w:val="clear" w:color="auto" w:fill="FFFFFF"/>
        <w:spacing w:line="326" w:lineRule="exact"/>
        <w:ind w:firstLine="440" w:firstLineChars="200"/>
        <w:jc w:val="left"/>
        <w:rPr>
          <w:rFonts w:ascii="仿宋_GB2312" w:hAnsi="仿宋" w:eastAsia="仿宋_GB2312" w:cs="Times New Roman"/>
          <w:kern w:val="0"/>
          <w:sz w:val="22"/>
        </w:rPr>
      </w:pPr>
      <w:r>
        <w:rPr>
          <w:rFonts w:hint="eastAsia" w:ascii="仿宋_GB2312" w:hAnsi="仿宋" w:eastAsia="仿宋_GB2312" w:cs="Times New Roman"/>
          <w:kern w:val="0"/>
          <w:sz w:val="22"/>
        </w:rPr>
        <w:t>截至2014年7月底，公司总资产2,670亿港元，净资产1,045亿港元，土地储备面积超过3,900万平米，华润置地已进入中国内地52个城市，正在发展项目超过110个。</w:t>
      </w:r>
    </w:p>
    <w:p>
      <w:pPr>
        <w:widowControl/>
        <w:shd w:val="clear" w:color="auto" w:fill="FFFFFF"/>
        <w:spacing w:line="326" w:lineRule="exact"/>
        <w:ind w:firstLine="440" w:firstLineChars="200"/>
        <w:jc w:val="left"/>
        <w:rPr>
          <w:rFonts w:ascii="仿宋_GB2312" w:hAnsi="仿宋" w:eastAsia="仿宋_GB2312" w:cs="Times New Roman"/>
          <w:kern w:val="0"/>
          <w:sz w:val="22"/>
        </w:rPr>
      </w:pPr>
      <w:r>
        <w:rPr>
          <w:rFonts w:hint="eastAsia" w:ascii="仿宋_GB2312" w:hAnsi="仿宋" w:eastAsia="仿宋_GB2312" w:cs="Times New Roman"/>
          <w:kern w:val="0"/>
          <w:sz w:val="22"/>
        </w:rPr>
        <w:t>华润置地以“品质给城市更多改变”为品牌理念，致力于达到行业内客户满意度的领先水准，致力于在产品和服务上超越客户预期，为客户带来生活方式的改变。华润置地坚持“住宅开发+投资物业+增值服务”的生意模式，住宅开发方面，已形成八大产品线：万象高端系列、城市高端系列、郊区高端系列、城市品质系列、城郊品质系列、城市改善系列、郊区改善系列、旅游度假系列。投资物业发展了都市综合体、五彩城/万象汇两种模式，其中万象城都市综合体项目已进入中国内地22个城市，并已在深圳、杭州、沈阳、南宁、成都、郑州相继开业，在引领城市生活方式改变的同时，带动城市经济的发展、改善城市面貌。五彩城/万象汇项目也已布局中国内地22个城市。华润置地深度挖掘品质需求，从客户起居行为出发，提供从户型布局，人性化收纳设计、活动家具、变形家具、地下车库、大堂公共空间的增值服务，并在管家服务、园区服务、地下空间利用、可售商业增值服务、园林增值服务进行试点研发。</w:t>
      </w:r>
    </w:p>
    <w:p>
      <w:pPr>
        <w:widowControl/>
        <w:shd w:val="clear" w:color="auto" w:fill="FFFFFF"/>
        <w:spacing w:line="326" w:lineRule="exact"/>
        <w:ind w:firstLine="440" w:firstLineChars="200"/>
        <w:jc w:val="left"/>
        <w:rPr>
          <w:rFonts w:ascii="仿宋_GB2312" w:hAnsi="仿宋" w:eastAsia="仿宋_GB2312" w:cs="Times New Roman"/>
          <w:kern w:val="0"/>
          <w:sz w:val="22"/>
        </w:rPr>
      </w:pPr>
      <w:r>
        <w:rPr>
          <w:rFonts w:hint="eastAsia" w:ascii="仿宋_GB2312" w:hAnsi="仿宋" w:eastAsia="仿宋_GB2312" w:cs="Times New Roman"/>
          <w:kern w:val="0"/>
          <w:sz w:val="22"/>
        </w:rPr>
        <w:t>华润置地坚持全国发展战略，持续提升地产价值链生产力，成为中国地产行业中最具竞争力和领导地位的公司。</w:t>
      </w:r>
    </w:p>
    <w:p>
      <w:pPr>
        <w:pStyle w:val="8"/>
        <w:widowControl/>
        <w:shd w:val="clear" w:color="auto" w:fill="FFFFFF"/>
        <w:spacing w:line="326" w:lineRule="exact"/>
        <w:ind w:left="480" w:firstLine="0" w:firstLineChars="0"/>
        <w:jc w:val="left"/>
        <w:rPr>
          <w:rFonts w:ascii="黑体" w:hAnsi="黑体" w:eastAsia="黑体" w:cs="宋体"/>
          <w:b/>
          <w:color w:val="FFC000"/>
          <w:kern w:val="0"/>
          <w:sz w:val="22"/>
        </w:rPr>
      </w:pPr>
      <w:r>
        <w:rPr>
          <w:rFonts w:hint="eastAsia" w:ascii="黑体" w:hAnsi="黑体" w:eastAsia="黑体" w:cs="宋体"/>
          <w:b/>
          <w:color w:val="FFC000"/>
          <w:kern w:val="0"/>
          <w:sz w:val="22"/>
        </w:rPr>
        <w:t>北京大区</w:t>
      </w:r>
    </w:p>
    <w:p>
      <w:pPr>
        <w:pStyle w:val="8"/>
        <w:spacing w:line="326" w:lineRule="exact"/>
        <w:ind w:firstLine="440"/>
        <w:rPr>
          <w:rFonts w:ascii="仿宋_GB2312" w:hAnsi="仿宋" w:eastAsia="仿宋_GB2312" w:cs="Times New Roman"/>
          <w:kern w:val="0"/>
          <w:sz w:val="22"/>
        </w:rPr>
      </w:pPr>
      <w:r>
        <w:rPr>
          <w:rFonts w:hint="eastAsia" w:ascii="仿宋_GB2312" w:hAnsi="仿宋" w:eastAsia="仿宋_GB2312" w:cs="Times New Roman"/>
          <w:kern w:val="0"/>
          <w:sz w:val="22"/>
        </w:rPr>
        <w:t>华润置地北京大区以北京为中心城市公司，辐射天津、河北和河南。目前已进入北京、天津、唐山、郑州、秦皇岛、石家庄六个城市，在当地从事住宅项目以及专业化、综合性商业地产项目的开发、运营和管理。</w:t>
      </w:r>
    </w:p>
    <w:p>
      <w:pPr>
        <w:pStyle w:val="8"/>
        <w:widowControl/>
        <w:shd w:val="clear" w:color="auto" w:fill="FFFFFF"/>
        <w:spacing w:line="326" w:lineRule="exact"/>
        <w:ind w:left="480" w:firstLine="0" w:firstLineChars="0"/>
        <w:jc w:val="left"/>
        <w:rPr>
          <w:rFonts w:ascii="黑体" w:hAnsi="黑体" w:eastAsia="黑体" w:cs="宋体"/>
          <w:b/>
          <w:color w:val="FFC000"/>
          <w:kern w:val="0"/>
          <w:sz w:val="22"/>
        </w:rPr>
      </w:pPr>
      <w:r>
        <w:rPr>
          <w:rFonts w:hint="eastAsia" w:ascii="黑体" w:hAnsi="黑体" w:eastAsia="黑体" w:cs="宋体"/>
          <w:b/>
          <w:color w:val="FFC000"/>
          <w:kern w:val="0"/>
          <w:sz w:val="22"/>
        </w:rPr>
        <w:t>上海大区</w:t>
      </w:r>
    </w:p>
    <w:p>
      <w:pPr>
        <w:spacing w:line="326" w:lineRule="exact"/>
        <w:ind w:firstLine="440" w:firstLineChars="200"/>
        <w:rPr>
          <w:rFonts w:ascii="仿宋_GB2312" w:hAnsi="仿宋" w:eastAsia="仿宋_GB2312" w:cs="Times New Roman"/>
          <w:kern w:val="0"/>
          <w:sz w:val="22"/>
        </w:rPr>
      </w:pPr>
      <w:r>
        <w:rPr>
          <w:rFonts w:hint="eastAsia" w:ascii="仿宋_GB2312" w:hAnsi="仿宋" w:eastAsia="仿宋_GB2312" w:cs="Times New Roman"/>
          <w:kern w:val="0"/>
          <w:sz w:val="22"/>
        </w:rPr>
        <w:t>上海大区以上海为中心城市，辐射上海和浙江省，在建9个住宅项目、7个商业项目。住宅项目包括上海的上海滩花园、外滩九里、新江湾九里、中央公园、佘山九里，位于杭州的之江九里，位于宁波的卡纳湖谷、中央公园、北仑凯旋门。</w:t>
      </w:r>
    </w:p>
    <w:p>
      <w:pPr>
        <w:spacing w:line="326" w:lineRule="exact"/>
        <w:ind w:firstLine="440" w:firstLineChars="200"/>
        <w:rPr>
          <w:rFonts w:ascii="仿宋_GB2312" w:hAnsi="仿宋" w:eastAsia="仿宋_GB2312" w:cs="Times New Roman"/>
          <w:kern w:val="0"/>
          <w:sz w:val="22"/>
        </w:rPr>
      </w:pPr>
      <w:r>
        <w:rPr>
          <w:rFonts w:hint="eastAsia" w:ascii="仿宋_GB2312" w:hAnsi="仿宋" w:eastAsia="仿宋_GB2312" w:cs="Times New Roman"/>
          <w:kern w:val="0"/>
          <w:sz w:val="22"/>
        </w:rPr>
        <w:t>商业项目包括华润时代广场、上海万象城、杭州万象城、杭州萧山项目、宁波湾头项目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hint="eastAsia" w:ascii="仿宋_GB2312" w:hAnsi="仿宋" w:eastAsia="仿宋_GB2312" w:cs="Times New Roman"/>
          <w:kern w:val="0"/>
          <w:sz w:val="22"/>
        </w:rPr>
        <w:t>温州万象城、余姚五彩城。</w:t>
      </w:r>
    </w:p>
    <w:p>
      <w:pPr>
        <w:pStyle w:val="8"/>
        <w:widowControl/>
        <w:shd w:val="clear" w:color="auto" w:fill="FFFFFF"/>
        <w:spacing w:line="326" w:lineRule="exact"/>
        <w:ind w:left="480" w:firstLine="0" w:firstLineChars="0"/>
        <w:jc w:val="left"/>
        <w:rPr>
          <w:rFonts w:ascii="黑体" w:hAnsi="黑体" w:eastAsia="黑体" w:cs="宋体"/>
          <w:b/>
          <w:color w:val="FFC000"/>
          <w:kern w:val="0"/>
          <w:sz w:val="22"/>
        </w:rPr>
      </w:pPr>
      <w:r>
        <w:rPr>
          <w:rFonts w:hint="eastAsia" w:ascii="黑体" w:hAnsi="黑体" w:eastAsia="黑体" w:cs="宋体"/>
          <w:b/>
          <w:color w:val="FFC000"/>
          <w:kern w:val="0"/>
          <w:sz w:val="22"/>
        </w:rPr>
        <w:t>深圳大区</w:t>
      </w:r>
    </w:p>
    <w:p>
      <w:pPr>
        <w:pStyle w:val="8"/>
        <w:widowControl/>
        <w:shd w:val="clear" w:color="auto" w:fill="FFFFFF"/>
        <w:spacing w:line="326" w:lineRule="exact"/>
        <w:ind w:firstLine="425" w:firstLineChars="193"/>
        <w:jc w:val="left"/>
        <w:rPr>
          <w:rFonts w:ascii="仿宋_GB2312" w:hAnsi="仿宋" w:eastAsia="仿宋_GB2312" w:cs="Times New Roman"/>
          <w:kern w:val="0"/>
          <w:sz w:val="22"/>
        </w:rPr>
      </w:pPr>
      <w:r>
        <w:rPr>
          <w:rFonts w:hint="eastAsia" w:ascii="仿宋_GB2312" w:hAnsi="仿宋" w:eastAsia="仿宋_GB2312" w:cs="Times New Roman"/>
          <w:kern w:val="0"/>
          <w:sz w:val="22"/>
        </w:rPr>
        <w:t>深圳大区</w:t>
      </w:r>
      <w:r>
        <w:rPr>
          <w:rFonts w:ascii="仿宋_GB2312" w:hAnsi="仿宋" w:eastAsia="仿宋_GB2312" w:cs="Times New Roman"/>
          <w:kern w:val="0"/>
          <w:sz w:val="22"/>
        </w:rPr>
        <w:t>秉承华润置地“诚信、务实、专业、团队、</w:t>
      </w:r>
      <w:r>
        <w:rPr>
          <w:rFonts w:hint="eastAsia" w:ascii="仿宋_GB2312" w:hAnsi="仿宋" w:eastAsia="仿宋_GB2312" w:cs="Times New Roman"/>
          <w:kern w:val="0"/>
          <w:sz w:val="22"/>
        </w:rPr>
        <w:t>积极</w:t>
      </w:r>
      <w:r>
        <w:rPr>
          <w:rFonts w:ascii="仿宋_GB2312" w:hAnsi="仿宋" w:eastAsia="仿宋_GB2312" w:cs="Times New Roman"/>
          <w:kern w:val="0"/>
          <w:sz w:val="22"/>
        </w:rPr>
        <w:t>、创新”的企业精神，致力于专业化、品牌化的地产开发。截至目前，已建成运营</w:t>
      </w:r>
      <w:r>
        <w:rPr>
          <w:rFonts w:hint="eastAsia" w:ascii="仿宋_GB2312" w:hAnsi="仿宋" w:eastAsia="仿宋_GB2312" w:cs="Times New Roman"/>
          <w:kern w:val="0"/>
          <w:sz w:val="22"/>
        </w:rPr>
        <w:t>或在售</w:t>
      </w:r>
      <w:r>
        <w:rPr>
          <w:rFonts w:ascii="仿宋_GB2312" w:hAnsi="仿宋" w:eastAsia="仿宋_GB2312" w:cs="Times New Roman"/>
          <w:kern w:val="0"/>
          <w:sz w:val="22"/>
        </w:rPr>
        <w:t>项目</w:t>
      </w:r>
      <w:r>
        <w:rPr>
          <w:rFonts w:hint="eastAsia" w:ascii="仿宋_GB2312" w:hAnsi="仿宋" w:eastAsia="仿宋_GB2312" w:cs="Times New Roman"/>
          <w:kern w:val="0"/>
          <w:sz w:val="22"/>
        </w:rPr>
        <w:t>6</w:t>
      </w:r>
      <w:r>
        <w:rPr>
          <w:rFonts w:ascii="仿宋_GB2312" w:hAnsi="仿宋" w:eastAsia="仿宋_GB2312" w:cs="Times New Roman"/>
          <w:kern w:val="0"/>
          <w:sz w:val="22"/>
        </w:rPr>
        <w:t>个，在建或待建项目</w:t>
      </w:r>
      <w:r>
        <w:rPr>
          <w:rFonts w:hint="eastAsia" w:ascii="仿宋_GB2312" w:hAnsi="仿宋" w:eastAsia="仿宋_GB2312" w:cs="Times New Roman"/>
          <w:kern w:val="0"/>
          <w:sz w:val="22"/>
        </w:rPr>
        <w:t>8</w:t>
      </w:r>
      <w:r>
        <w:rPr>
          <w:rFonts w:ascii="仿宋_GB2312" w:hAnsi="仿宋" w:eastAsia="仿宋_GB2312" w:cs="Times New Roman"/>
          <w:kern w:val="0"/>
          <w:sz w:val="22"/>
        </w:rPr>
        <w:t>个</w:t>
      </w:r>
      <w:r>
        <w:rPr>
          <w:rFonts w:hint="eastAsia" w:ascii="仿宋_GB2312" w:hAnsi="仿宋" w:eastAsia="仿宋_GB2312" w:cs="Times New Roman"/>
          <w:kern w:val="0"/>
          <w:sz w:val="22"/>
        </w:rPr>
        <w:t>，已建成运营或在售项目</w:t>
      </w:r>
      <w:r>
        <w:rPr>
          <w:rFonts w:ascii="仿宋_GB2312" w:hAnsi="仿宋" w:eastAsia="仿宋_GB2312" w:cs="Times New Roman"/>
          <w:kern w:val="0"/>
          <w:sz w:val="22"/>
        </w:rPr>
        <w:t>包括：深圳华润中心、深圳湾体育中心“春茧”</w:t>
      </w:r>
      <w:r>
        <w:rPr>
          <w:rFonts w:hint="eastAsia" w:ascii="仿宋_GB2312" w:hAnsi="仿宋" w:eastAsia="仿宋_GB2312" w:cs="Times New Roman"/>
          <w:kern w:val="0"/>
          <w:sz w:val="22"/>
        </w:rPr>
        <w:t>、华润1234Space、</w:t>
      </w:r>
      <w:r>
        <w:rPr>
          <w:rFonts w:ascii="仿宋_GB2312" w:hAnsi="仿宋" w:eastAsia="仿宋_GB2312" w:cs="Times New Roman"/>
          <w:kern w:val="0"/>
          <w:sz w:val="22"/>
        </w:rPr>
        <w:t>华润小径湾、</w:t>
      </w:r>
      <w:r>
        <w:rPr>
          <w:rFonts w:hint="eastAsia" w:ascii="仿宋_GB2312" w:hAnsi="仿宋" w:eastAsia="仿宋_GB2312" w:cs="Times New Roman"/>
          <w:kern w:val="0"/>
          <w:sz w:val="22"/>
        </w:rPr>
        <w:t>南宁华润中心、万宁石梅湾</w:t>
      </w:r>
      <w:r>
        <w:rPr>
          <w:rFonts w:ascii="仿宋_GB2312" w:hAnsi="仿宋" w:eastAsia="仿宋_GB2312" w:cs="Times New Roman"/>
          <w:kern w:val="0"/>
          <w:sz w:val="22"/>
        </w:rPr>
        <w:t>；在建和即将建设的项目包括：深圳南山华润城、华润深圳湾国际商业中心、华润银湖蓝山、华润前海中心、华润湖贝旧改项目、华润下李朗旧改项目</w:t>
      </w:r>
      <w:r>
        <w:rPr>
          <w:rFonts w:hint="eastAsia" w:ascii="仿宋_GB2312" w:hAnsi="仿宋" w:eastAsia="仿宋_GB2312" w:cs="Times New Roman"/>
          <w:kern w:val="0"/>
          <w:sz w:val="22"/>
        </w:rPr>
        <w:t>、汕头华润中心项目、柳州项目等</w:t>
      </w:r>
      <w:r>
        <w:rPr>
          <w:rFonts w:ascii="仿宋_GB2312" w:hAnsi="仿宋" w:eastAsia="仿宋_GB2312" w:cs="Times New Roman"/>
          <w:kern w:val="0"/>
          <w:sz w:val="22"/>
        </w:rPr>
        <w:t>。</w:t>
      </w:r>
    </w:p>
    <w:p>
      <w:pPr>
        <w:pStyle w:val="8"/>
        <w:widowControl/>
        <w:shd w:val="clear" w:color="auto" w:fill="FFFFFF"/>
        <w:spacing w:line="326" w:lineRule="exact"/>
        <w:ind w:firstLine="425" w:firstLineChars="193"/>
        <w:jc w:val="left"/>
        <w:rPr>
          <w:rFonts w:ascii="黑体" w:hAnsi="黑体" w:eastAsia="黑体" w:cs="宋体"/>
          <w:b/>
          <w:color w:val="FFC000"/>
          <w:kern w:val="0"/>
          <w:sz w:val="22"/>
        </w:rPr>
      </w:pPr>
      <w:r>
        <w:rPr>
          <w:rFonts w:ascii="仿宋_GB2312" w:hAnsi="仿宋" w:eastAsia="仿宋_GB2312" w:cs="Times New Roman"/>
          <w:kern w:val="0"/>
          <w:sz w:val="22"/>
        </w:rPr>
        <w:t>伴随着华润置地在全国业务的迅速拓展及以“万象城”为主力品牌和主导产品的城市综合体项目在全国范围内的复制，</w:t>
      </w:r>
      <w:r>
        <w:rPr>
          <w:rFonts w:hint="eastAsia" w:ascii="仿宋_GB2312" w:hAnsi="仿宋" w:eastAsia="仿宋_GB2312" w:cs="Times New Roman"/>
          <w:kern w:val="0"/>
          <w:sz w:val="22"/>
        </w:rPr>
        <w:t>深圳大区</w:t>
      </w:r>
      <w:r>
        <w:rPr>
          <w:rFonts w:ascii="仿宋_GB2312" w:hAnsi="仿宋" w:eastAsia="仿宋_GB2312" w:cs="Times New Roman"/>
          <w:kern w:val="0"/>
          <w:sz w:val="22"/>
        </w:rPr>
        <w:t>还肩负着培养和输出商业地产人才的重任。自成立以来，已陆续为华润置地在杭州、沈阳、成都、南宁、青岛、济南等城市的商业地产项目输送大量专业和管理人才，成为华润置地商业地产人才培养基地</w:t>
      </w:r>
      <w:r>
        <w:rPr>
          <w:rFonts w:hint="eastAsia" w:ascii="仿宋_GB2312" w:hAnsi="仿宋" w:eastAsia="仿宋_GB2312" w:cs="Times New Roman"/>
          <w:kern w:val="0"/>
          <w:sz w:val="22"/>
        </w:rPr>
        <w:t>。</w:t>
      </w:r>
    </w:p>
    <w:p>
      <w:pPr>
        <w:pStyle w:val="8"/>
        <w:widowControl/>
        <w:shd w:val="clear" w:color="auto" w:fill="FFFFFF"/>
        <w:spacing w:line="326" w:lineRule="exact"/>
        <w:ind w:left="480" w:firstLine="0" w:firstLineChars="0"/>
        <w:jc w:val="left"/>
        <w:rPr>
          <w:rFonts w:ascii="黑体" w:hAnsi="黑体" w:eastAsia="黑体" w:cs="宋体"/>
          <w:b/>
          <w:color w:val="FFC000"/>
          <w:kern w:val="0"/>
          <w:sz w:val="22"/>
        </w:rPr>
      </w:pPr>
      <w:r>
        <w:rPr>
          <w:rFonts w:hint="eastAsia" w:ascii="黑体" w:hAnsi="黑体" w:eastAsia="黑体" w:cs="宋体"/>
          <w:b/>
          <w:color w:val="FFC000"/>
          <w:kern w:val="0"/>
          <w:sz w:val="22"/>
        </w:rPr>
        <w:t>成都大区</w:t>
      </w:r>
    </w:p>
    <w:p>
      <w:pPr>
        <w:spacing w:line="326" w:lineRule="exact"/>
        <w:ind w:right="-57" w:rightChars="-27" w:firstLine="482"/>
        <w:rPr>
          <w:rFonts w:ascii="仿宋_GB2312" w:hAnsi="仿宋" w:eastAsia="仿宋_GB2312" w:cs="Times New Roman"/>
          <w:kern w:val="0"/>
          <w:sz w:val="22"/>
        </w:rPr>
      </w:pPr>
      <w:r>
        <w:rPr>
          <w:rFonts w:hint="eastAsia" w:ascii="仿宋_GB2312" w:hAnsi="仿宋" w:eastAsia="仿宋_GB2312" w:cs="Times New Roman"/>
          <w:kern w:val="0"/>
          <w:sz w:val="22"/>
        </w:rPr>
        <w:t>华润置地成都大区担负着实践西部战略布局的重要使命。目前，成都大区由置地成都、置地重庆、置地绵阳和置地西安公司四个城市公司组成，并逐步向周边二、三线城市开发拓展。</w:t>
      </w:r>
    </w:p>
    <w:p>
      <w:pPr>
        <w:spacing w:line="326" w:lineRule="exact"/>
        <w:ind w:right="-57" w:rightChars="-27" w:firstLine="482"/>
        <w:rPr>
          <w:rFonts w:ascii="仿宋_GB2312" w:hAnsi="仿宋" w:eastAsia="仿宋_GB2312" w:cs="Times New Roman"/>
          <w:kern w:val="0"/>
          <w:sz w:val="22"/>
        </w:rPr>
      </w:pPr>
      <w:r>
        <w:rPr>
          <w:rFonts w:hint="eastAsia" w:ascii="仿宋_GB2312" w:hAnsi="仿宋" w:eastAsia="仿宋_GB2312" w:cs="Times New Roman"/>
          <w:kern w:val="0"/>
          <w:sz w:val="22"/>
        </w:rPr>
        <w:t>华润置地成都大区始终秉承 “务实、激情、专业、创新”的企业精神，崇尚“简单、坦诚、阳光”的企业文化，坚持“品质给城市更多改变”的品牌理念，以“与您携手，改变生活”为承诺，以造福一方为使命，立足成都，建设西部。</w:t>
      </w:r>
    </w:p>
    <w:p>
      <w:pPr>
        <w:pStyle w:val="8"/>
        <w:widowControl/>
        <w:shd w:val="clear" w:color="auto" w:fill="FFFFFF"/>
        <w:spacing w:line="326" w:lineRule="exact"/>
        <w:ind w:left="480" w:firstLine="0" w:firstLineChars="0"/>
        <w:jc w:val="left"/>
        <w:rPr>
          <w:rFonts w:ascii="黑体" w:hAnsi="黑体" w:eastAsia="黑体" w:cs="宋体"/>
          <w:b/>
          <w:color w:val="FFC000"/>
          <w:kern w:val="0"/>
          <w:sz w:val="22"/>
        </w:rPr>
      </w:pPr>
      <w:r>
        <w:rPr>
          <w:rFonts w:hint="eastAsia" w:ascii="黑体" w:hAnsi="黑体" w:eastAsia="黑体" w:cs="宋体"/>
          <w:b/>
          <w:color w:val="FFC000"/>
          <w:kern w:val="0"/>
          <w:sz w:val="22"/>
        </w:rPr>
        <w:t>沈阳大区</w:t>
      </w:r>
    </w:p>
    <w:p>
      <w:pPr>
        <w:spacing w:line="326" w:lineRule="exact"/>
        <w:ind w:firstLine="440" w:firstLineChars="200"/>
        <w:rPr>
          <w:rFonts w:ascii="仿宋_GB2312" w:hAnsi="仿宋" w:eastAsia="仿宋_GB2312" w:cs="Times New Roman"/>
          <w:kern w:val="0"/>
          <w:sz w:val="22"/>
        </w:rPr>
      </w:pPr>
      <w:r>
        <w:rPr>
          <w:rFonts w:hint="eastAsia" w:ascii="仿宋_GB2312" w:hAnsi="仿宋" w:eastAsia="仿宋_GB2312" w:cs="Times New Roman"/>
          <w:kern w:val="0"/>
          <w:sz w:val="22"/>
        </w:rPr>
        <w:t>华润置地先后进入大连、沈阳、鞍山、长春、哈尔滨，在东北三省已形成“五城十八盘”联动之势，凭借对高品质的不断追求，在东北大地上实践着华润置地改变城市、改变生活的理想。经过8年的发展，华润置地已经成为区域内高品质的代名词，旗下项目赢得业内外一致赞誉。</w:t>
      </w:r>
    </w:p>
    <w:p>
      <w:pPr>
        <w:pStyle w:val="8"/>
        <w:widowControl/>
        <w:shd w:val="clear" w:color="auto" w:fill="FFFFFF"/>
        <w:spacing w:line="326" w:lineRule="exact"/>
        <w:ind w:left="480" w:firstLine="0" w:firstLineChars="0"/>
        <w:jc w:val="left"/>
        <w:rPr>
          <w:rFonts w:ascii="黑体" w:hAnsi="黑体" w:eastAsia="黑体" w:cs="宋体"/>
          <w:b/>
          <w:color w:val="FFC000"/>
          <w:kern w:val="0"/>
          <w:sz w:val="22"/>
        </w:rPr>
      </w:pPr>
      <w:r>
        <w:rPr>
          <w:rFonts w:hint="eastAsia" w:ascii="黑体" w:hAnsi="黑体" w:eastAsia="黑体" w:cs="宋体"/>
          <w:b/>
          <w:color w:val="FFC000"/>
          <w:kern w:val="0"/>
          <w:sz w:val="22"/>
        </w:rPr>
        <w:t>山东大区</w:t>
      </w:r>
    </w:p>
    <w:p>
      <w:pPr>
        <w:spacing w:line="326" w:lineRule="exact"/>
        <w:ind w:firstLine="440" w:firstLineChars="200"/>
        <w:rPr>
          <w:rFonts w:ascii="仿宋_GB2312" w:hAnsi="仿宋" w:eastAsia="仿宋_GB2312" w:cs="Times New Roman"/>
          <w:kern w:val="0"/>
          <w:sz w:val="22"/>
        </w:rPr>
      </w:pPr>
      <w:r>
        <w:rPr>
          <w:rFonts w:hint="eastAsia" w:ascii="仿宋_GB2312" w:hAnsi="仿宋" w:eastAsia="仿宋_GB2312" w:cs="Times New Roman"/>
          <w:kern w:val="0"/>
          <w:sz w:val="22"/>
        </w:rPr>
        <w:t xml:space="preserve">华润置地山东大区总部设在济南，由济南、青岛、淄博、威海、日照、烟台、临沂、太原等八个城市公司组成。 </w:t>
      </w:r>
    </w:p>
    <w:p>
      <w:pPr>
        <w:spacing w:line="326" w:lineRule="exact"/>
        <w:ind w:firstLine="440" w:firstLineChars="200"/>
        <w:rPr>
          <w:rFonts w:ascii="仿宋_GB2312" w:hAnsi="仿宋" w:eastAsia="仿宋_GB2312" w:cs="Times New Roman"/>
          <w:kern w:val="0"/>
          <w:sz w:val="22"/>
        </w:rPr>
      </w:pPr>
      <w:r>
        <w:rPr>
          <w:rFonts w:hint="eastAsia" w:ascii="仿宋_GB2312" w:hAnsi="仿宋" w:eastAsia="仿宋_GB2312" w:cs="Times New Roman"/>
          <w:kern w:val="0"/>
          <w:sz w:val="22"/>
        </w:rPr>
        <w:t>在</w:t>
      </w:r>
      <w:r>
        <w:rPr>
          <w:rFonts w:ascii="仿宋_GB2312" w:hAnsi="仿宋" w:eastAsia="仿宋_GB2312" w:cs="Times New Roman"/>
          <w:kern w:val="0"/>
          <w:sz w:val="22"/>
        </w:rPr>
        <w:t>"</w:t>
      </w:r>
      <w:r>
        <w:rPr>
          <w:rFonts w:hint="eastAsia" w:ascii="仿宋_GB2312" w:hAnsi="仿宋" w:eastAsia="仿宋_GB2312" w:cs="Times New Roman"/>
          <w:kern w:val="0"/>
          <w:sz w:val="22"/>
        </w:rPr>
        <w:t>大山东、大格局</w:t>
      </w:r>
      <w:r>
        <w:rPr>
          <w:rFonts w:ascii="仿宋_GB2312" w:hAnsi="仿宋" w:eastAsia="仿宋_GB2312" w:cs="Times New Roman"/>
          <w:kern w:val="0"/>
          <w:sz w:val="22"/>
        </w:rPr>
        <w:t>"</w:t>
      </w:r>
      <w:r>
        <w:rPr>
          <w:rFonts w:hint="eastAsia" w:ascii="仿宋_GB2312" w:hAnsi="仿宋" w:eastAsia="仿宋_GB2312" w:cs="Times New Roman"/>
          <w:kern w:val="0"/>
          <w:sz w:val="22"/>
        </w:rPr>
        <w:t>战略以及</w:t>
      </w:r>
      <w:r>
        <w:rPr>
          <w:rFonts w:ascii="仿宋_GB2312" w:hAnsi="仿宋" w:eastAsia="仿宋_GB2312" w:cs="Times New Roman"/>
          <w:kern w:val="0"/>
          <w:sz w:val="22"/>
        </w:rPr>
        <w:t>"</w:t>
      </w:r>
      <w:r>
        <w:rPr>
          <w:rFonts w:hint="eastAsia" w:ascii="仿宋_GB2312" w:hAnsi="仿宋" w:eastAsia="仿宋_GB2312" w:cs="Times New Roman"/>
          <w:kern w:val="0"/>
          <w:sz w:val="22"/>
        </w:rPr>
        <w:t>住宅</w:t>
      </w:r>
      <w:r>
        <w:rPr>
          <w:rFonts w:ascii="仿宋_GB2312" w:hAnsi="仿宋" w:eastAsia="仿宋_GB2312" w:cs="Times New Roman"/>
          <w:kern w:val="0"/>
          <w:sz w:val="22"/>
        </w:rPr>
        <w:t>+</w:t>
      </w:r>
      <w:r>
        <w:rPr>
          <w:rFonts w:hint="eastAsia" w:ascii="仿宋_GB2312" w:hAnsi="仿宋" w:eastAsia="仿宋_GB2312" w:cs="Times New Roman"/>
          <w:kern w:val="0"/>
          <w:sz w:val="22"/>
        </w:rPr>
        <w:t>商业</w:t>
      </w:r>
      <w:r>
        <w:rPr>
          <w:rFonts w:ascii="仿宋_GB2312" w:hAnsi="仿宋" w:eastAsia="仿宋_GB2312" w:cs="Times New Roman"/>
          <w:kern w:val="0"/>
          <w:sz w:val="22"/>
        </w:rPr>
        <w:t>"</w:t>
      </w:r>
      <w:r>
        <w:rPr>
          <w:rFonts w:hint="eastAsia" w:ascii="仿宋_GB2312" w:hAnsi="仿宋" w:eastAsia="仿宋_GB2312" w:cs="Times New Roman"/>
          <w:kern w:val="0"/>
          <w:sz w:val="22"/>
        </w:rPr>
        <w:t>开发模式的引领下，山东大区深耕齐鲁大地，呈现出势如破竹、锐意进取的发展态势，先后在青岛、淄博、济南、威海、日照、烟台、太原、</w:t>
      </w:r>
      <w:r>
        <w:rPr>
          <w:rFonts w:ascii="仿宋_GB2312" w:hAnsi="仿宋" w:eastAsia="仿宋_GB2312" w:cs="Times New Roman"/>
          <w:kern w:val="0"/>
          <w:sz w:val="22"/>
        </w:rPr>
        <w:t>临沂八个</w:t>
      </w:r>
      <w:r>
        <w:rPr>
          <w:rFonts w:hint="eastAsia" w:ascii="仿宋_GB2312" w:hAnsi="仿宋" w:eastAsia="仿宋_GB2312" w:cs="Times New Roman"/>
          <w:kern w:val="0"/>
          <w:sz w:val="22"/>
        </w:rPr>
        <w:t>城市核心区位开发多个优质项目地上面积</w:t>
      </w:r>
      <w:r>
        <w:rPr>
          <w:rFonts w:ascii="仿宋_GB2312" w:hAnsi="仿宋" w:eastAsia="仿宋_GB2312" w:cs="Times New Roman"/>
          <w:kern w:val="0"/>
          <w:sz w:val="22"/>
        </w:rPr>
        <w:t>总计</w:t>
      </w:r>
      <w:r>
        <w:rPr>
          <w:rFonts w:hint="eastAsia" w:ascii="仿宋_GB2312" w:hAnsi="仿宋" w:eastAsia="仿宋_GB2312" w:cs="Times New Roman"/>
          <w:kern w:val="0"/>
          <w:sz w:val="22"/>
        </w:rPr>
        <w:t>超过</w:t>
      </w:r>
      <w:r>
        <w:rPr>
          <w:rFonts w:ascii="仿宋_GB2312" w:hAnsi="仿宋" w:eastAsia="仿宋_GB2312" w:cs="Times New Roman"/>
          <w:kern w:val="0"/>
          <w:sz w:val="22"/>
        </w:rPr>
        <w:t>620</w:t>
      </w:r>
      <w:r>
        <w:rPr>
          <w:rFonts w:hint="eastAsia" w:ascii="仿宋_GB2312" w:hAnsi="仿宋" w:eastAsia="仿宋_GB2312" w:cs="Times New Roman"/>
          <w:kern w:val="0"/>
          <w:sz w:val="22"/>
        </w:rPr>
        <w:t>万平方米，涵盖华润置地</w:t>
      </w:r>
      <w:r>
        <w:rPr>
          <w:rFonts w:ascii="仿宋_GB2312" w:hAnsi="仿宋" w:eastAsia="仿宋_GB2312" w:cs="Times New Roman"/>
          <w:kern w:val="0"/>
          <w:sz w:val="22"/>
        </w:rPr>
        <w:t>8</w:t>
      </w:r>
      <w:r>
        <w:rPr>
          <w:rFonts w:hint="eastAsia" w:ascii="仿宋_GB2312" w:hAnsi="仿宋" w:eastAsia="仿宋_GB2312" w:cs="Times New Roman"/>
          <w:kern w:val="0"/>
          <w:sz w:val="22"/>
        </w:rPr>
        <w:t>大产品线，并将创造新的旅游地产产品系列。</w:t>
      </w:r>
    </w:p>
    <w:p>
      <w:pPr>
        <w:spacing w:line="326" w:lineRule="exact"/>
        <w:ind w:firstLine="440" w:firstLineChars="200"/>
        <w:rPr>
          <w:rFonts w:ascii="仿宋_GB2312" w:hAnsi="仿宋" w:eastAsia="仿宋_GB2312" w:cs="Times New Roman"/>
          <w:kern w:val="0"/>
          <w:sz w:val="22"/>
        </w:rPr>
      </w:pPr>
      <w:r>
        <w:rPr>
          <w:rFonts w:hint="eastAsia" w:ascii="仿宋_GB2312" w:hAnsi="仿宋" w:eastAsia="仿宋_GB2312" w:cs="Times New Roman"/>
          <w:kern w:val="0"/>
          <w:sz w:val="22"/>
        </w:rPr>
        <w:t>华润置地山东大区预计2015年</w:t>
      </w:r>
      <w:r>
        <w:rPr>
          <w:rFonts w:ascii="仿宋_GB2312" w:hAnsi="仿宋" w:eastAsia="仿宋_GB2312" w:cs="Times New Roman"/>
          <w:kern w:val="0"/>
          <w:sz w:val="22"/>
        </w:rPr>
        <w:t>签约额将达</w:t>
      </w:r>
      <w:r>
        <w:rPr>
          <w:rFonts w:hint="eastAsia" w:ascii="仿宋_GB2312" w:hAnsi="仿宋" w:eastAsia="仿宋_GB2312" w:cs="Times New Roman"/>
          <w:kern w:val="0"/>
          <w:sz w:val="22"/>
        </w:rPr>
        <w:t>100亿元</w:t>
      </w:r>
      <w:r>
        <w:rPr>
          <w:rFonts w:ascii="仿宋_GB2312" w:hAnsi="仿宋" w:eastAsia="仿宋_GB2312" w:cs="Times New Roman"/>
          <w:kern w:val="0"/>
          <w:sz w:val="22"/>
        </w:rPr>
        <w:t>，</w:t>
      </w:r>
      <w:r>
        <w:rPr>
          <w:rFonts w:hint="eastAsia" w:ascii="仿宋_GB2312" w:hAnsi="仿宋" w:eastAsia="仿宋_GB2312" w:cs="Times New Roman"/>
          <w:kern w:val="0"/>
          <w:sz w:val="22"/>
        </w:rPr>
        <w:t>未来</w:t>
      </w:r>
      <w:r>
        <w:rPr>
          <w:rFonts w:ascii="仿宋_GB2312" w:hAnsi="仿宋" w:eastAsia="仿宋_GB2312" w:cs="Times New Roman"/>
          <w:kern w:val="0"/>
          <w:sz w:val="22"/>
        </w:rPr>
        <w:t>5</w:t>
      </w:r>
      <w:r>
        <w:rPr>
          <w:rFonts w:hint="eastAsia" w:ascii="仿宋_GB2312" w:hAnsi="仿宋" w:eastAsia="仿宋_GB2312" w:cs="Times New Roman"/>
          <w:kern w:val="0"/>
          <w:sz w:val="22"/>
        </w:rPr>
        <w:t>年内投资规模将超过</w:t>
      </w:r>
      <w:r>
        <w:rPr>
          <w:rFonts w:ascii="仿宋_GB2312" w:hAnsi="仿宋" w:eastAsia="仿宋_GB2312" w:cs="Times New Roman"/>
          <w:kern w:val="0"/>
          <w:sz w:val="22"/>
        </w:rPr>
        <w:t>800</w:t>
      </w:r>
      <w:r>
        <w:rPr>
          <w:rFonts w:hint="eastAsia" w:ascii="仿宋_GB2312" w:hAnsi="仿宋" w:eastAsia="仿宋_GB2312" w:cs="Times New Roman"/>
          <w:kern w:val="0"/>
          <w:sz w:val="22"/>
        </w:rPr>
        <w:t>亿元，将建设</w:t>
      </w:r>
      <w:r>
        <w:rPr>
          <w:rFonts w:ascii="仿宋_GB2312" w:hAnsi="仿宋" w:eastAsia="仿宋_GB2312" w:cs="Times New Roman"/>
          <w:kern w:val="0"/>
          <w:sz w:val="22"/>
        </w:rPr>
        <w:t>3</w:t>
      </w:r>
      <w:r>
        <w:rPr>
          <w:rFonts w:hint="eastAsia" w:ascii="仿宋_GB2312" w:hAnsi="仿宋" w:eastAsia="仿宋_GB2312" w:cs="Times New Roman"/>
          <w:kern w:val="0"/>
          <w:sz w:val="22"/>
        </w:rPr>
        <w:t>个万象城、</w:t>
      </w:r>
      <w:r>
        <w:rPr>
          <w:rFonts w:ascii="仿宋_GB2312" w:hAnsi="仿宋" w:eastAsia="仿宋_GB2312" w:cs="Times New Roman"/>
          <w:kern w:val="0"/>
          <w:sz w:val="22"/>
        </w:rPr>
        <w:t>7-10</w:t>
      </w:r>
      <w:r>
        <w:rPr>
          <w:rFonts w:hint="eastAsia" w:ascii="仿宋_GB2312" w:hAnsi="仿宋" w:eastAsia="仿宋_GB2312" w:cs="Times New Roman"/>
          <w:kern w:val="0"/>
          <w:sz w:val="22"/>
        </w:rPr>
        <w:t>个万象汇、多个五星级酒店、几十万平米的持有</w:t>
      </w:r>
      <w:r>
        <w:rPr>
          <w:rFonts w:ascii="仿宋_GB2312" w:hAnsi="仿宋" w:eastAsia="仿宋_GB2312" w:cs="Times New Roman"/>
          <w:kern w:val="0"/>
          <w:sz w:val="22"/>
        </w:rPr>
        <w:t>甲级</w:t>
      </w:r>
      <w:r>
        <w:rPr>
          <w:rFonts w:hint="eastAsia" w:ascii="仿宋_GB2312" w:hAnsi="仿宋" w:eastAsia="仿宋_GB2312" w:cs="Times New Roman"/>
          <w:kern w:val="0"/>
          <w:sz w:val="22"/>
        </w:rPr>
        <w:t>写字楼、形成产品层次丰富的商业王国。</w:t>
      </w:r>
    </w:p>
    <w:p>
      <w:pPr>
        <w:pStyle w:val="8"/>
        <w:widowControl/>
        <w:shd w:val="clear" w:color="auto" w:fill="FFFFFF"/>
        <w:spacing w:line="326" w:lineRule="exact"/>
        <w:ind w:left="480" w:firstLine="0" w:firstLineChars="0"/>
        <w:jc w:val="left"/>
        <w:rPr>
          <w:rFonts w:ascii="黑体" w:hAnsi="黑体" w:eastAsia="黑体" w:cs="宋体"/>
          <w:b/>
          <w:color w:val="FFC000"/>
          <w:kern w:val="0"/>
          <w:sz w:val="22"/>
        </w:rPr>
      </w:pPr>
      <w:r>
        <w:rPr>
          <w:rFonts w:hint="eastAsia" w:ascii="黑体" w:hAnsi="黑体" w:eastAsia="黑体" w:cs="宋体"/>
          <w:b/>
          <w:color w:val="FFC000"/>
          <w:kern w:val="0"/>
          <w:sz w:val="22"/>
        </w:rPr>
        <w:t>江苏大区</w:t>
      </w:r>
    </w:p>
    <w:p>
      <w:pPr>
        <w:spacing w:line="326" w:lineRule="exact"/>
        <w:ind w:firstLine="440" w:firstLineChars="200"/>
        <w:jc w:val="left"/>
        <w:rPr>
          <w:rFonts w:ascii="仿宋_GB2312" w:hAnsi="仿宋" w:eastAsia="仿宋_GB2312" w:cs="Times New Roman"/>
          <w:kern w:val="0"/>
          <w:sz w:val="22"/>
        </w:rPr>
      </w:pPr>
      <w:r>
        <w:rPr>
          <w:rFonts w:hint="eastAsia" w:ascii="仿宋_GB2312" w:hAnsi="仿宋" w:eastAsia="仿宋_GB2312" w:cs="Times New Roman"/>
          <w:kern w:val="0"/>
          <w:sz w:val="22"/>
        </w:rPr>
        <w:t>华润置地江苏大区覆盖南京、苏州、无锡、常州、泰州、扬州、南通、盐城、徐州等多个城市，在建</w:t>
      </w:r>
      <w:r>
        <w:rPr>
          <w:rFonts w:ascii="仿宋_GB2312" w:hAnsi="仿宋" w:eastAsia="仿宋_GB2312" w:cs="Times New Roman"/>
          <w:kern w:val="0"/>
          <w:sz w:val="22"/>
        </w:rPr>
        <w:t>项目涵盖</w:t>
      </w:r>
      <w:r>
        <w:rPr>
          <w:rFonts w:hint="eastAsia" w:ascii="仿宋_GB2312" w:hAnsi="仿宋" w:eastAsia="仿宋_GB2312" w:cs="Times New Roman"/>
          <w:kern w:val="0"/>
          <w:sz w:val="22"/>
        </w:rPr>
        <w:t>“悦府系列、九里系、橡树湾系列、国际社区系列”等</w:t>
      </w:r>
      <w:r>
        <w:rPr>
          <w:rFonts w:ascii="仿宋_GB2312" w:hAnsi="仿宋" w:eastAsia="仿宋_GB2312" w:cs="Times New Roman"/>
          <w:kern w:val="0"/>
          <w:sz w:val="22"/>
        </w:rPr>
        <w:t>19</w:t>
      </w:r>
      <w:r>
        <w:rPr>
          <w:rFonts w:hint="eastAsia" w:ascii="仿宋_GB2312" w:hAnsi="仿宋" w:eastAsia="仿宋_GB2312" w:cs="Times New Roman"/>
          <w:kern w:val="0"/>
          <w:sz w:val="22"/>
        </w:rPr>
        <w:t>个住宅项目和无锡万象城等</w:t>
      </w:r>
      <w:r>
        <w:rPr>
          <w:rFonts w:ascii="仿宋_GB2312" w:hAnsi="仿宋" w:eastAsia="仿宋_GB2312" w:cs="Times New Roman"/>
          <w:kern w:val="0"/>
          <w:sz w:val="22"/>
        </w:rPr>
        <w:t>4</w:t>
      </w:r>
      <w:r>
        <w:rPr>
          <w:rFonts w:hint="eastAsia" w:ascii="仿宋_GB2312" w:hAnsi="仿宋" w:eastAsia="仿宋_GB2312" w:cs="Times New Roman"/>
          <w:kern w:val="0"/>
          <w:sz w:val="22"/>
        </w:rPr>
        <w:t>个商业项目，以高品质住宅、完美商业体验及悉心增值服务为驱动，引领区域人居生活的新变革。</w:t>
      </w:r>
    </w:p>
    <w:p>
      <w:pPr>
        <w:spacing w:line="326" w:lineRule="exact"/>
        <w:ind w:firstLine="440" w:firstLineChars="200"/>
        <w:jc w:val="left"/>
        <w:rPr>
          <w:rFonts w:ascii="仿宋_GB2312" w:hAnsi="仿宋" w:eastAsia="仿宋_GB2312" w:cs="Times New Roman"/>
          <w:kern w:val="0"/>
          <w:sz w:val="22"/>
        </w:rPr>
      </w:pPr>
      <w:r>
        <w:rPr>
          <w:rFonts w:hint="eastAsia" w:ascii="仿宋_GB2312" w:hAnsi="仿宋" w:eastAsia="仿宋_GB2312" w:cs="Times New Roman"/>
          <w:kern w:val="0"/>
          <w:sz w:val="22"/>
        </w:rPr>
        <w:t>商业地产作为公司落实“住宅开发</w:t>
      </w:r>
      <w:r>
        <w:rPr>
          <w:rFonts w:ascii="仿宋_GB2312" w:hAnsi="仿宋" w:eastAsia="仿宋_GB2312" w:cs="Times New Roman"/>
          <w:kern w:val="0"/>
          <w:sz w:val="22"/>
        </w:rPr>
        <w:t>+</w:t>
      </w:r>
      <w:r>
        <w:rPr>
          <w:rFonts w:hint="eastAsia" w:ascii="仿宋_GB2312" w:hAnsi="仿宋" w:eastAsia="仿宋_GB2312" w:cs="Times New Roman"/>
          <w:kern w:val="0"/>
          <w:sz w:val="22"/>
        </w:rPr>
        <w:t>投资物业</w:t>
      </w:r>
      <w:r>
        <w:rPr>
          <w:rFonts w:ascii="仿宋_GB2312" w:hAnsi="仿宋" w:eastAsia="仿宋_GB2312" w:cs="Times New Roman"/>
          <w:kern w:val="0"/>
          <w:sz w:val="22"/>
        </w:rPr>
        <w:t>+</w:t>
      </w:r>
      <w:r>
        <w:rPr>
          <w:rFonts w:hint="eastAsia" w:ascii="仿宋_GB2312" w:hAnsi="仿宋" w:eastAsia="仿宋_GB2312" w:cs="Times New Roman"/>
          <w:kern w:val="0"/>
          <w:sz w:val="22"/>
        </w:rPr>
        <w:t>增值服务”生意模式的重要组成部分，公司将在现有无锡万象城、南通万象城、昆山万象汇、吴江</w:t>
      </w:r>
      <w:r>
        <w:rPr>
          <w:rFonts w:ascii="仿宋_GB2312" w:hAnsi="仿宋" w:eastAsia="仿宋_GB2312" w:cs="Times New Roman"/>
          <w:kern w:val="0"/>
          <w:sz w:val="22"/>
        </w:rPr>
        <w:t>万象汇</w:t>
      </w:r>
      <w:r>
        <w:rPr>
          <w:rFonts w:hint="eastAsia" w:ascii="仿宋_GB2312" w:hAnsi="仿宋" w:eastAsia="仿宋_GB2312" w:cs="Times New Roman"/>
          <w:kern w:val="0"/>
          <w:sz w:val="22"/>
        </w:rPr>
        <w:t>、</w:t>
      </w:r>
      <w:r>
        <w:rPr>
          <w:rFonts w:ascii="仿宋_GB2312" w:hAnsi="仿宋" w:eastAsia="仿宋_GB2312" w:cs="Times New Roman"/>
          <w:kern w:val="0"/>
          <w:sz w:val="22"/>
        </w:rPr>
        <w:t>泰州万象汇等</w:t>
      </w:r>
      <w:r>
        <w:rPr>
          <w:rFonts w:hint="eastAsia" w:ascii="仿宋_GB2312" w:hAnsi="仿宋" w:eastAsia="仿宋_GB2312" w:cs="Times New Roman"/>
          <w:kern w:val="0"/>
          <w:sz w:val="22"/>
        </w:rPr>
        <w:t>5个商业项目的基础上，继续增持3个商业项目，实现“万象城·万象汇”产品线，共8个持有物业的战略目标。</w:t>
      </w:r>
    </w:p>
    <w:p>
      <w:pPr>
        <w:pStyle w:val="8"/>
        <w:widowControl/>
        <w:shd w:val="clear" w:color="auto" w:fill="FFFFFF"/>
        <w:spacing w:line="326" w:lineRule="exact"/>
        <w:ind w:left="480" w:firstLine="0" w:firstLineChars="0"/>
        <w:jc w:val="left"/>
        <w:rPr>
          <w:rFonts w:ascii="黑体" w:hAnsi="黑体" w:eastAsia="黑体" w:cs="宋体"/>
          <w:b/>
          <w:color w:val="FFC000"/>
          <w:kern w:val="0"/>
          <w:sz w:val="22"/>
        </w:rPr>
      </w:pPr>
      <w:r>
        <w:rPr>
          <w:rFonts w:hint="eastAsia" w:ascii="黑体" w:hAnsi="黑体" w:eastAsia="黑体" w:cs="宋体"/>
          <w:b/>
          <w:color w:val="FFC000"/>
          <w:kern w:val="0"/>
          <w:sz w:val="22"/>
        </w:rPr>
        <w:t>武汉大区</w:t>
      </w:r>
    </w:p>
    <w:p>
      <w:pPr>
        <w:spacing w:line="326" w:lineRule="exact"/>
        <w:ind w:firstLine="440" w:firstLineChars="200"/>
        <w:jc w:val="left"/>
        <w:rPr>
          <w:rFonts w:ascii="仿宋_GB2312" w:hAnsi="仿宋" w:eastAsia="仿宋_GB2312" w:cs="Times New Roman"/>
          <w:kern w:val="0"/>
          <w:sz w:val="22"/>
        </w:rPr>
      </w:pPr>
      <w:r>
        <w:rPr>
          <w:rFonts w:hint="eastAsia" w:ascii="仿宋_GB2312" w:hAnsi="仿宋" w:eastAsia="仿宋_GB2312" w:cs="Times New Roman"/>
          <w:kern w:val="0"/>
          <w:sz w:val="22"/>
        </w:rPr>
        <w:t>华润置地武汉大区负责在湖北、湖南、安徽三省内从事专业化、综合商业地产及住宅项目的开发、运营和管理，目前业务覆盖武汉、长沙、合肥等城市，已陆续在武汉、长沙、合肥三地开发武汉凤凰城、武汉中央公园、武汉置地公馆、武汉橡树湾、武汉悦府、武汉紫云府、合肥澜溪镇、合肥幸福里、合肥紫云府、合肥橡树湾、合肥凯旋门、长沙凤凰城、长沙橡树湾、长沙置地广场等多个高品质的住宅产品，为客户提供典范居所，奠定市场品质标杆。在投资物业方面发展了都市综合体、区域商业中心五彩城两种模式，其中合肥蜀山五彩城已经开业，合肥万象城、长沙五彩城即将相继开业。</w:t>
      </w:r>
    </w:p>
    <w:p>
      <w:pPr>
        <w:spacing w:line="326" w:lineRule="exact"/>
        <w:ind w:firstLine="442" w:firstLineChars="200"/>
        <w:jc w:val="left"/>
        <w:rPr>
          <w:rFonts w:ascii="黑体" w:hAnsi="黑体" w:eastAsia="黑体" w:cs="宋体"/>
          <w:b/>
          <w:color w:val="FFC000"/>
          <w:kern w:val="0"/>
          <w:sz w:val="22"/>
        </w:rPr>
      </w:pPr>
      <w:r>
        <w:rPr>
          <w:rFonts w:hint="eastAsia" w:ascii="黑体" w:hAnsi="黑体" w:eastAsia="黑体" w:cs="宋体"/>
          <w:b/>
          <w:color w:val="FFC000"/>
          <w:kern w:val="0"/>
          <w:sz w:val="22"/>
        </w:rPr>
        <w:t>福建大区</w:t>
      </w:r>
    </w:p>
    <w:p>
      <w:pPr>
        <w:spacing w:line="326" w:lineRule="exact"/>
        <w:ind w:firstLine="440" w:firstLineChars="200"/>
        <w:jc w:val="left"/>
        <w:rPr>
          <w:rFonts w:ascii="仿宋_GB2312" w:hAnsi="仿宋" w:eastAsia="仿宋_GB2312" w:cs="Times New Roman"/>
          <w:kern w:val="0"/>
          <w:sz w:val="22"/>
        </w:rPr>
      </w:pPr>
      <w:r>
        <w:rPr>
          <w:rFonts w:hint="eastAsia" w:ascii="仿宋_GB2312" w:hAnsi="仿宋" w:eastAsia="仿宋_GB2312" w:cs="Times New Roman"/>
          <w:kern w:val="0"/>
          <w:sz w:val="22"/>
        </w:rPr>
        <w:t>华润置地福建大区以福州为中心，辐射福建、江西两省，布局福州、厦门、南昌、赣州四城。3个品质高尚住宅项目：英伦风情-福州橡树湾、学府人文-厦门橡树湾、法式尊贵-南昌橡树湾品质卓越，均为区域内的标杆产品。同时开发3个高端商业项目：赣州万象城、厦门万象城、福州万象城，引领区域时尚消费潮流，深耕闽赣，快速成长。</w:t>
      </w:r>
    </w:p>
    <w:p>
      <w:pPr>
        <w:spacing w:line="326" w:lineRule="exact"/>
        <w:ind w:firstLine="440" w:firstLineChars="200"/>
        <w:jc w:val="left"/>
        <w:rPr>
          <w:rFonts w:ascii="仿宋_GB2312" w:hAnsi="仿宋" w:eastAsia="仿宋_GB2312" w:cs="Times New Roman"/>
          <w:kern w:val="0"/>
          <w:sz w:val="22"/>
        </w:rPr>
      </w:pPr>
      <w:r>
        <w:rPr>
          <w:rFonts w:hint="eastAsia" w:ascii="仿宋_GB2312" w:hAnsi="仿宋" w:eastAsia="仿宋_GB2312" w:cs="Times New Roman"/>
          <w:kern w:val="0"/>
          <w:sz w:val="22"/>
        </w:rPr>
        <w:t>福建大区正处于稳步扩张阶段。在未来2-3年内，计划每年获得2-3个项目，完善福建、江西两省战略布局，致力成为闽赣区域最具影响力和最具典范性的综合型地产开发商。</w:t>
      </w:r>
    </w:p>
    <w:p>
      <w:pPr>
        <w:widowControl/>
        <w:shd w:val="clear" w:color="auto" w:fill="FFFFFF"/>
        <w:spacing w:line="326" w:lineRule="atLeast"/>
        <w:jc w:val="left"/>
        <w:rPr>
          <w:rFonts w:ascii="仿宋_GB2312" w:hAnsi="仿宋" w:eastAsia="仿宋_GB2312" w:cs="Times New Roman"/>
          <w:kern w:val="0"/>
          <w:sz w:val="22"/>
        </w:rPr>
      </w:pPr>
    </w:p>
    <w:p>
      <w:pPr>
        <w:pStyle w:val="8"/>
        <w:widowControl/>
        <w:numPr>
          <w:ilvl w:val="0"/>
          <w:numId w:val="1"/>
        </w:numPr>
        <w:shd w:val="clear" w:color="auto" w:fill="FFFFFF"/>
        <w:spacing w:line="326" w:lineRule="atLeast"/>
        <w:ind w:firstLineChars="0"/>
        <w:jc w:val="left"/>
        <w:rPr>
          <w:rFonts w:ascii="黑体" w:hAnsi="黑体" w:eastAsia="黑体" w:cs="宋体"/>
          <w:b/>
          <w:color w:val="FFC000"/>
          <w:kern w:val="0"/>
          <w:sz w:val="22"/>
        </w:rPr>
      </w:pPr>
      <w:r>
        <w:rPr>
          <w:rFonts w:ascii="黑体" w:hAnsi="黑体" w:eastAsia="黑体" w:cs="宋体"/>
          <w:b/>
          <w:color w:val="FFC000"/>
          <w:kern w:val="0"/>
          <w:sz w:val="22"/>
        </w:rPr>
        <w:t>【</w:t>
      </w:r>
      <w:r>
        <w:rPr>
          <w:rFonts w:hint="eastAsia" w:ascii="黑体" w:hAnsi="黑体" w:eastAsia="黑体" w:cs="宋体"/>
          <w:b/>
          <w:color w:val="FFC000"/>
          <w:kern w:val="0"/>
          <w:sz w:val="22"/>
        </w:rPr>
        <w:t>咨询邮箱</w:t>
      </w:r>
      <w:r>
        <w:rPr>
          <w:rFonts w:ascii="黑体" w:hAnsi="黑体" w:eastAsia="黑体" w:cs="宋体"/>
          <w:b/>
          <w:color w:val="FFC000"/>
          <w:kern w:val="0"/>
          <w:sz w:val="22"/>
        </w:rPr>
        <w:t>】</w:t>
      </w:r>
    </w:p>
    <w:tbl>
      <w:tblPr>
        <w:tblW w:w="85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3261"/>
        <w:gridCol w:w="1179"/>
        <w:gridCol w:w="298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Header/>
        </w:trPr>
        <w:tc>
          <w:tcPr>
            <w:tcW w:w="1101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b/>
                <w:bCs/>
                <w:color w:val="2E2E2E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2E2E2E"/>
                <w:kern w:val="0"/>
                <w:szCs w:val="21"/>
              </w:rPr>
              <w:t>大区</w:t>
            </w:r>
          </w:p>
        </w:tc>
        <w:tc>
          <w:tcPr>
            <w:tcW w:w="3261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b/>
                <w:bCs/>
                <w:color w:val="2E2E2E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2E2E2E"/>
                <w:kern w:val="0"/>
                <w:szCs w:val="21"/>
              </w:rPr>
              <w:t>咨询邮箱</w:t>
            </w:r>
          </w:p>
        </w:tc>
        <w:tc>
          <w:tcPr>
            <w:tcW w:w="1179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b/>
                <w:bCs/>
                <w:color w:val="2E2E2E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2E2E2E"/>
                <w:kern w:val="0"/>
                <w:szCs w:val="21"/>
              </w:rPr>
              <w:t>大区</w:t>
            </w:r>
          </w:p>
        </w:tc>
        <w:tc>
          <w:tcPr>
            <w:tcW w:w="2981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b/>
                <w:bCs/>
                <w:color w:val="2E2E2E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2E2E2E"/>
                <w:kern w:val="0"/>
                <w:szCs w:val="21"/>
              </w:rPr>
              <w:t>咨询邮箱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01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color w:val="2E2E2E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2E2E2E"/>
                <w:kern w:val="0"/>
                <w:szCs w:val="21"/>
              </w:rPr>
              <w:t>北京大区</w:t>
            </w:r>
          </w:p>
        </w:tc>
        <w:tc>
          <w:tcPr>
            <w:tcW w:w="3261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color w:val="2E2E2E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2E2E2E"/>
                <w:kern w:val="0"/>
                <w:szCs w:val="21"/>
              </w:rPr>
              <w:t>bjdqzp@crland.com.cn</w:t>
            </w:r>
          </w:p>
        </w:tc>
        <w:tc>
          <w:tcPr>
            <w:tcW w:w="1179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color w:val="2E2E2E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2E2E2E"/>
                <w:kern w:val="0"/>
                <w:szCs w:val="21"/>
              </w:rPr>
              <w:t>上海大区</w:t>
            </w:r>
          </w:p>
        </w:tc>
        <w:tc>
          <w:tcPr>
            <w:tcW w:w="2981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color w:val="2E2E2E"/>
                <w:kern w:val="0"/>
                <w:szCs w:val="21"/>
              </w:rPr>
            </w:pPr>
            <w:r>
              <w:fldChar w:fldCharType="begin"/>
            </w:r>
            <w:r>
              <w:instrText xml:space="preserve">HYPERLINK "mailto:crlandsh_hr@crland.com.cn" </w:instrText>
            </w:r>
            <w:r>
              <w:fldChar w:fldCharType="separate"/>
            </w:r>
            <w:r>
              <w:rPr>
                <w:rStyle w:val="7"/>
                <w:rFonts w:hint="eastAsia" w:ascii="仿宋_GB2312" w:hAnsi="仿宋" w:eastAsia="仿宋_GB2312" w:cs="宋体"/>
                <w:kern w:val="0"/>
                <w:szCs w:val="21"/>
              </w:rPr>
              <w:t>crlandsh_hr@crland.com.cn</w:t>
            </w:r>
            <w:r>
              <w:fldChar w:fldCharType="end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01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color w:val="2E2E2E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2E2E2E"/>
                <w:kern w:val="0"/>
                <w:szCs w:val="21"/>
              </w:rPr>
              <w:t>深圳大区</w:t>
            </w:r>
          </w:p>
        </w:tc>
        <w:tc>
          <w:tcPr>
            <w:tcW w:w="3261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color w:val="2E2E2E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2E2E2E"/>
                <w:kern w:val="0"/>
                <w:szCs w:val="21"/>
              </w:rPr>
              <w:t>career-sz@crland.com.cn</w:t>
            </w:r>
          </w:p>
        </w:tc>
        <w:tc>
          <w:tcPr>
            <w:tcW w:w="1179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color w:val="2E2E2E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2E2E2E"/>
                <w:kern w:val="0"/>
                <w:szCs w:val="21"/>
              </w:rPr>
              <w:t>成都大区</w:t>
            </w:r>
          </w:p>
        </w:tc>
        <w:tc>
          <w:tcPr>
            <w:tcW w:w="2981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color w:val="2E2E2E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2E2E2E"/>
                <w:kern w:val="0"/>
                <w:szCs w:val="21"/>
              </w:rPr>
              <w:t>crlandxzcd@crland.com.cn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01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color w:val="2E2E2E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2E2E2E"/>
                <w:kern w:val="0"/>
                <w:szCs w:val="21"/>
              </w:rPr>
              <w:t>沈阳大区</w:t>
            </w:r>
          </w:p>
        </w:tc>
        <w:tc>
          <w:tcPr>
            <w:tcW w:w="3261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color w:val="2E2E2E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2E2E2E"/>
                <w:kern w:val="0"/>
                <w:szCs w:val="21"/>
              </w:rPr>
              <w:t>xyzp@crland.com.cn</w:t>
            </w:r>
          </w:p>
        </w:tc>
        <w:tc>
          <w:tcPr>
            <w:tcW w:w="1179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color w:val="2E2E2E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2E2E2E"/>
                <w:kern w:val="0"/>
                <w:szCs w:val="21"/>
              </w:rPr>
              <w:t>山东大区</w:t>
            </w:r>
          </w:p>
        </w:tc>
        <w:tc>
          <w:tcPr>
            <w:tcW w:w="2981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color w:val="2E2E2E"/>
                <w:kern w:val="0"/>
                <w:szCs w:val="21"/>
              </w:rPr>
            </w:pPr>
            <w:r>
              <w:fldChar w:fldCharType="begin"/>
            </w:r>
            <w:r>
              <w:instrText xml:space="preserve">HYPERLINK "mailto:sdhr@crland.com.cn" </w:instrText>
            </w:r>
            <w:r>
              <w:fldChar w:fldCharType="separate"/>
            </w:r>
            <w:r>
              <w:rPr>
                <w:rStyle w:val="7"/>
                <w:rFonts w:hint="eastAsia" w:ascii="仿宋_GB2312" w:hAnsi="仿宋" w:eastAsia="仿宋_GB2312" w:cs="宋体"/>
                <w:kern w:val="0"/>
                <w:szCs w:val="21"/>
              </w:rPr>
              <w:t>sdhr@crland.com.cn</w:t>
            </w:r>
            <w:r>
              <w:fldChar w:fldCharType="end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01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color w:val="2E2E2E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2E2E2E"/>
                <w:kern w:val="0"/>
                <w:szCs w:val="21"/>
              </w:rPr>
              <w:t>江苏大区</w:t>
            </w:r>
          </w:p>
        </w:tc>
        <w:tc>
          <w:tcPr>
            <w:tcW w:w="3261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color w:val="2E2E2E"/>
                <w:kern w:val="0"/>
                <w:szCs w:val="21"/>
              </w:rPr>
            </w:pPr>
            <w:r>
              <w:fldChar w:fldCharType="begin"/>
            </w:r>
            <w:r>
              <w:instrText xml:space="preserve">HYPERLINK "mailto:jsxyzp@crland.com.cn" </w:instrText>
            </w:r>
            <w:r>
              <w:fldChar w:fldCharType="separate"/>
            </w:r>
            <w:r>
              <w:rPr>
                <w:rStyle w:val="7"/>
                <w:rFonts w:hint="eastAsia" w:ascii="仿宋_GB2312" w:hAnsi="仿宋" w:eastAsia="仿宋_GB2312" w:cs="宋体"/>
                <w:kern w:val="0"/>
                <w:szCs w:val="21"/>
              </w:rPr>
              <w:t>jsxyzp@crland.com.cn</w:t>
            </w:r>
            <w:r>
              <w:fldChar w:fldCharType="end"/>
            </w:r>
          </w:p>
        </w:tc>
        <w:tc>
          <w:tcPr>
            <w:tcW w:w="1179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color w:val="2E2E2E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2E2E2E"/>
                <w:kern w:val="0"/>
                <w:szCs w:val="21"/>
              </w:rPr>
              <w:t>武汉大区</w:t>
            </w:r>
          </w:p>
        </w:tc>
        <w:tc>
          <w:tcPr>
            <w:tcW w:w="2981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color w:val="2E2E2E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2E2E2E"/>
                <w:kern w:val="0"/>
                <w:szCs w:val="21"/>
              </w:rPr>
              <w:t>whhr@crland.com.cn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01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color w:val="2E2E2E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2E2E2E"/>
                <w:kern w:val="0"/>
                <w:szCs w:val="21"/>
              </w:rPr>
              <w:t>福建大区</w:t>
            </w:r>
          </w:p>
        </w:tc>
        <w:tc>
          <w:tcPr>
            <w:tcW w:w="3261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color w:val="2E2E2E"/>
                <w:kern w:val="0"/>
                <w:szCs w:val="21"/>
              </w:rPr>
            </w:pPr>
            <w:r>
              <w:fldChar w:fldCharType="begin"/>
            </w:r>
            <w:r>
              <w:instrText xml:space="preserve">HYPERLINK "mailto:fzhr@crland.com.cn" </w:instrText>
            </w:r>
            <w:r>
              <w:fldChar w:fldCharType="separate"/>
            </w:r>
            <w:r>
              <w:rPr>
                <w:rStyle w:val="7"/>
                <w:rFonts w:hint="eastAsia" w:ascii="仿宋_GB2312" w:hAnsi="仿宋" w:eastAsia="仿宋_GB2312" w:cs="宋体"/>
                <w:kern w:val="0"/>
                <w:szCs w:val="21"/>
              </w:rPr>
              <w:t>fzhr@crland.com.cn</w:t>
            </w:r>
            <w:r>
              <w:fldChar w:fldCharType="end"/>
            </w:r>
          </w:p>
        </w:tc>
        <w:tc>
          <w:tcPr>
            <w:tcW w:w="1179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color w:val="2E2E2E"/>
                <w:kern w:val="0"/>
                <w:szCs w:val="21"/>
              </w:rPr>
            </w:pPr>
          </w:p>
        </w:tc>
        <w:tc>
          <w:tcPr>
            <w:tcW w:w="2981" w:type="dxa"/>
            <w:vAlign w:val="center"/>
          </w:tcPr>
          <w:p>
            <w:pPr>
              <w:widowControl/>
              <w:shd w:val="clear" w:color="auto" w:fill="FFFFFF"/>
              <w:spacing w:line="326" w:lineRule="atLeast"/>
              <w:jc w:val="center"/>
              <w:rPr>
                <w:rFonts w:ascii="仿宋_GB2312" w:hAnsi="仿宋" w:eastAsia="仿宋_GB2312" w:cs="宋体"/>
                <w:color w:val="2E2E2E"/>
                <w:kern w:val="0"/>
                <w:szCs w:val="21"/>
              </w:rPr>
            </w:pPr>
          </w:p>
        </w:tc>
      </w:tr>
    </w:tbl>
    <w:p>
      <w:pPr>
        <w:rPr>
          <w:rFonts w:ascii="仿宋_GB2312" w:hAnsi="仿宋" w:eastAsia="仿宋_GB2312"/>
          <w:sz w:val="22"/>
        </w:rPr>
      </w:pPr>
    </w:p>
    <w:p>
      <w:pPr>
        <w:tabs>
          <w:tab w:val="left" w:pos="7455"/>
        </w:tabs>
        <w:rPr>
          <w:rFonts w:ascii="仿宋_GB2312" w:hAnsi="仿宋" w:eastAsia="仿宋_GB2312"/>
          <w:sz w:val="22"/>
        </w:rPr>
      </w:pPr>
      <w:r>
        <w:rPr>
          <w:rFonts w:ascii="仿宋_GB2312" w:hAnsi="仿宋" w:eastAsia="仿宋_GB2312"/>
          <w:sz w:val="22"/>
        </w:rPr>
        <w:tab/>
      </w:r>
    </w:p>
    <w:sectPr>
      <w:headerReference r:id="rId4" w:type="default"/>
      <w:footerReference r:id="rId5" w:type="default"/>
      <w:pgSz w:w="11906" w:h="16838"/>
      <w:pgMar w:top="1440" w:right="1800" w:bottom="1440" w:left="1800" w:header="113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仿宋_GB2312"/>
    <w:panose1 w:val="00000000000000000000"/>
    <w:charset w:val="86"/>
    <w:family w:val="auto"/>
    <w:pitch w:val="default"/>
    <w:sig w:usb0="00000000" w:usb1="38CF7CFA" w:usb2="00000016" w:usb3="00000000" w:csb0="00040001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</w:pPr>
    <w:r>
      <w:rPr>
        <w:rFonts w:ascii="Calibri" w:hAnsi="Calibri" w:eastAsia="宋体" w:cs="黑体"/>
        <w:kern w:val="2"/>
        <w:sz w:val="18"/>
        <w:szCs w:val="18"/>
        <w:lang w:val="en-US" w:eastAsia="zh-CN" w:bidi="ar-SA"/>
      </w:rPr>
      <w:pict>
        <v:shape id="图片 2" o:spid="_x0000_s1025" type="#_x0000_t75" style="height:39pt;width:417pt;rotation:0f;" o:ole="f" fillcolor="#FFFFFF" filled="f" o:preferrelative="t" stroked="f" coordorigin="0,0" coordsize="21600,21600">
          <v:fill on="f" color2="#FFFFFF" focus="0%"/>
          <v:imagedata gain="65536f" blacklevel="0f" gamma="0" o:title="" r:id="rId1"/>
          <o:lock v:ext="edit" position="f" selection="f" grouping="f" rotation="f" cropping="f" text="f" aspectratio="t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948974240">
    <w:nsid w:val="389032A0"/>
    <w:multiLevelType w:val="multilevel"/>
    <w:tmpl w:val="389032A0"/>
    <w:lvl w:ilvl="0" w:tentative="1">
      <w:start w:val="1"/>
      <w:numFmt w:val="bullet"/>
      <w:lvlText w:val=""/>
      <w:lvlJc w:val="left"/>
      <w:pPr>
        <w:ind w:left="900" w:hanging="420"/>
      </w:pPr>
      <w:rPr>
        <w:rFonts w:hint="default" w:ascii="Wingdings" w:hAnsi="Wingdings"/>
      </w:rPr>
    </w:lvl>
    <w:lvl w:ilvl="1" w:tentative="1">
      <w:start w:val="1"/>
      <w:numFmt w:val="bullet"/>
      <w:lvlText w:val=""/>
      <w:lvlJc w:val="left"/>
      <w:pPr>
        <w:ind w:left="132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74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216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58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300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342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84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4260" w:hanging="420"/>
      </w:pPr>
      <w:rPr>
        <w:rFonts w:hint="default" w:ascii="Wingdings" w:hAnsi="Wingdings"/>
      </w:rPr>
    </w:lvl>
  </w:abstractNum>
  <w:abstractNum w:abstractNumId="1572891276">
    <w:nsid w:val="5DC06A8C"/>
    <w:multiLevelType w:val="multilevel"/>
    <w:tmpl w:val="5DC06A8C"/>
    <w:lvl w:ilvl="0" w:tentative="1">
      <w:start w:val="1"/>
      <w:numFmt w:val="chineseCountingThousand"/>
      <w:lvlText w:val="%1."/>
      <w:lvlJc w:val="left"/>
      <w:pPr>
        <w:ind w:left="480" w:hanging="480"/>
      </w:pPr>
      <w:rPr>
        <w:rFonts w:hint="eastAsia" w:ascii="黑体" w:hAnsi="黑体" w:eastAsia="黑体"/>
        <w:sz w:val="22"/>
        <w:szCs w:val="22"/>
      </w:rPr>
    </w:lvl>
    <w:lvl w:ilvl="1" w:tentative="1">
      <w:start w:val="0"/>
      <w:numFmt w:val="bullet"/>
      <w:lvlText w:val="■"/>
      <w:lvlJc w:val="left"/>
      <w:pPr>
        <w:ind w:left="840" w:hanging="360"/>
      </w:pPr>
      <w:rPr>
        <w:rFonts w:hint="eastAsia" w:ascii="仿宋_GB2312" w:hAnsi="仿宋" w:eastAsia="仿宋_GB2312" w:cs="Times New Roman"/>
      </w:r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36436503">
    <w:nsid w:val="7F576F17"/>
    <w:multiLevelType w:val="multilevel"/>
    <w:tmpl w:val="7F576F17"/>
    <w:lvl w:ilvl="0" w:tentative="1">
      <w:start w:val="1"/>
      <w:numFmt w:val="bullet"/>
      <w:lvlText w:val=""/>
      <w:lvlJc w:val="left"/>
      <w:pPr>
        <w:ind w:left="881" w:hanging="480"/>
      </w:pPr>
      <w:rPr>
        <w:rFonts w:hint="default" w:ascii="Wingdings" w:hAnsi="Wingdings"/>
      </w:rPr>
    </w:lvl>
    <w:lvl w:ilvl="1" w:tentative="1">
      <w:start w:val="1"/>
      <w:numFmt w:val="bullet"/>
      <w:lvlText w:val=""/>
      <w:lvlJc w:val="left"/>
      <w:pPr>
        <w:ind w:left="1361" w:hanging="48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841" w:hanging="48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2321" w:hanging="48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801" w:hanging="48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3281" w:hanging="48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3761" w:hanging="48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4241" w:hanging="48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4721" w:hanging="480"/>
      </w:pPr>
      <w:rPr>
        <w:rFonts w:hint="default" w:ascii="Wingdings" w:hAnsi="Wingdings"/>
      </w:rPr>
    </w:lvl>
  </w:abstractNum>
  <w:abstractNum w:abstractNumId="937559624">
    <w:nsid w:val="37E20648"/>
    <w:multiLevelType w:val="multilevel"/>
    <w:tmpl w:val="37E20648"/>
    <w:lvl w:ilvl="0" w:tentative="1">
      <w:start w:val="1"/>
      <w:numFmt w:val="decimal"/>
      <w:lvlText w:val="%1."/>
      <w:lvlJc w:val="left"/>
      <w:pPr>
        <w:ind w:left="831" w:hanging="480"/>
      </w:pPr>
      <w:rPr>
        <w:color w:val="auto"/>
      </w:rPr>
    </w:lvl>
    <w:lvl w:ilvl="1" w:tentative="1">
      <w:start w:val="1"/>
      <w:numFmt w:val="ideographTraditional"/>
      <w:lvlText w:val="%2、"/>
      <w:lvlJc w:val="left"/>
      <w:pPr>
        <w:ind w:left="1311" w:hanging="480"/>
      </w:pPr>
    </w:lvl>
    <w:lvl w:ilvl="2" w:tentative="1">
      <w:start w:val="1"/>
      <w:numFmt w:val="lowerRoman"/>
      <w:lvlText w:val="%3."/>
      <w:lvlJc w:val="right"/>
      <w:pPr>
        <w:ind w:left="1791" w:hanging="480"/>
      </w:pPr>
    </w:lvl>
    <w:lvl w:ilvl="3" w:tentative="1">
      <w:start w:val="1"/>
      <w:numFmt w:val="decimal"/>
      <w:lvlText w:val="%4."/>
      <w:lvlJc w:val="left"/>
      <w:pPr>
        <w:ind w:left="2271" w:hanging="480"/>
      </w:pPr>
    </w:lvl>
    <w:lvl w:ilvl="4" w:tentative="1">
      <w:start w:val="1"/>
      <w:numFmt w:val="ideographTraditional"/>
      <w:lvlText w:val="%5、"/>
      <w:lvlJc w:val="left"/>
      <w:pPr>
        <w:ind w:left="2751" w:hanging="480"/>
      </w:pPr>
    </w:lvl>
    <w:lvl w:ilvl="5" w:tentative="1">
      <w:start w:val="1"/>
      <w:numFmt w:val="lowerRoman"/>
      <w:lvlText w:val="%6."/>
      <w:lvlJc w:val="right"/>
      <w:pPr>
        <w:ind w:left="3231" w:hanging="480"/>
      </w:pPr>
    </w:lvl>
    <w:lvl w:ilvl="6" w:tentative="1">
      <w:start w:val="1"/>
      <w:numFmt w:val="decimal"/>
      <w:lvlText w:val="%7."/>
      <w:lvlJc w:val="left"/>
      <w:pPr>
        <w:ind w:left="3711" w:hanging="480"/>
      </w:pPr>
    </w:lvl>
    <w:lvl w:ilvl="7" w:tentative="1">
      <w:start w:val="1"/>
      <w:numFmt w:val="ideographTraditional"/>
      <w:lvlText w:val="%8、"/>
      <w:lvlJc w:val="left"/>
      <w:pPr>
        <w:ind w:left="4191" w:hanging="480"/>
      </w:pPr>
    </w:lvl>
    <w:lvl w:ilvl="8" w:tentative="1">
      <w:start w:val="1"/>
      <w:numFmt w:val="lowerRoman"/>
      <w:lvlText w:val="%9."/>
      <w:lvlJc w:val="right"/>
      <w:pPr>
        <w:ind w:left="4671" w:hanging="480"/>
      </w:pPr>
    </w:lvl>
  </w:abstractNum>
  <w:num w:numId="1">
    <w:abstractNumId w:val="1572891276"/>
  </w:num>
  <w:num w:numId="2">
    <w:abstractNumId w:val="2136436503"/>
  </w:num>
  <w:num w:numId="3">
    <w:abstractNumId w:val="937559624"/>
  </w:num>
  <w:num w:numId="4">
    <w:abstractNumId w:val="9489742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unhideWhenUsed/>
    <w:uiPriority w:val="99"/>
    <w:rPr>
      <w:color w:val="0000FF"/>
      <w:u w:val="single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uiPriority w:val="99"/>
    <w:rPr>
      <w:sz w:val="18"/>
      <w:szCs w:val="18"/>
    </w:rPr>
  </w:style>
  <w:style w:type="character" w:customStyle="1" w:styleId="11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Relationship Id="rId7" Type="http://schemas.openxmlformats.org/officeDocument/2006/relationships/image" Target="media/image2.jpeg"/><Relationship Id="rId8" Type="http://schemas.openxmlformats.org/officeDocument/2006/relationships/customXml" Target="../customXml/item1.xml"/><Relationship Id="rId9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6</Pages>
  <Words>814</Words>
  <Characters>4643</Characters>
  <Lines>38</Lines>
  <Paragraphs>10</Paragraphs>
  <TotalTime>0</TotalTime>
  <ScaleCrop>false</ScaleCrop>
  <LinksUpToDate>false</LinksUpToDate>
  <CharactersWithSpaces>0</CharactersWithSpaces>
  <Application>WPS Office 个人版_9.1.0.4856_{F1E327BC-269C-435d-A152-05C5408002CA}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2014-09-23T09:37:00Z</dcterms:created>
  <dc:creator>lenovo</dc:creator>
  <cp:lastModifiedBy>Administrator</cp:lastModifiedBy>
  <cp:lastPrinted>2014-09-18T07:47:00Z</cp:lastPrinted>
  <dcterms:modified xsi:type="dcterms:W3CDTF">2014-09-26T07:11:52Z</dcterms:modified>
  <dc:title>华润置地2015年“百匠新人”校园招聘简章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2052-9.1.0.4856</vt:lpwstr>
  </property>
</Properties>
</file>