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ascii="宋体" w:hAnsi="宋体" w:eastAsia="宋体" w:cs="宋体"/>
          <w:b/>
          <w:kern w:val="0"/>
          <w:sz w:val="32"/>
          <w:szCs w:val="32"/>
        </w:rPr>
      </w:pPr>
      <w:bookmarkStart w:id="0" w:name="_GoBack"/>
      <w:bookmarkEnd w:id="0"/>
      <w:r>
        <w:rPr>
          <w:rFonts w:hint="eastAsia" w:ascii="宋体" w:hAnsi="宋体" w:eastAsia="宋体" w:cs="宋体"/>
          <w:b/>
          <w:kern w:val="0"/>
          <w:sz w:val="32"/>
          <w:szCs w:val="32"/>
        </w:rPr>
        <w:t>上海锦天城（杭州</w:t>
      </w:r>
      <w:r>
        <w:rPr>
          <w:rFonts w:ascii="宋体" w:hAnsi="宋体" w:eastAsia="宋体" w:cs="宋体"/>
          <w:b/>
          <w:kern w:val="0"/>
          <w:sz w:val="32"/>
          <w:szCs w:val="32"/>
        </w:rPr>
        <w:t>）</w:t>
      </w:r>
      <w:r>
        <w:rPr>
          <w:rFonts w:hint="eastAsia" w:ascii="宋体" w:hAnsi="宋体" w:eastAsia="宋体" w:cs="宋体"/>
          <w:b/>
          <w:kern w:val="0"/>
          <w:sz w:val="32"/>
          <w:szCs w:val="32"/>
        </w:rPr>
        <w:t>律师事务所介绍</w:t>
      </w:r>
    </w:p>
    <w:p>
      <w:pPr>
        <w:widowControl/>
        <w:spacing w:before="100" w:beforeAutospacing="1" w:after="100" w:afterAutospacing="1" w:line="360" w:lineRule="auto"/>
        <w:jc w:val="center"/>
        <w:rPr>
          <w:rFonts w:ascii="宋体" w:hAnsi="宋体" w:eastAsia="宋体" w:cs="宋体"/>
          <w:kern w:val="0"/>
          <w:sz w:val="32"/>
          <w:szCs w:val="32"/>
        </w:rPr>
      </w:pPr>
    </w:p>
    <w:p>
      <w:pPr>
        <w:widowControl/>
        <w:spacing w:before="100" w:beforeAutospacing="1" w:after="100" w:afterAutospacing="1"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 xml:space="preserve">上海市锦天城律师事务所是一家综合性合伙制律师事务所,规模和业务量每年居上海市第一。总部位于上海陆家嘴金融服务区花旗大厦，在北京、深圳、杭州、苏州、南京、成都、重庆、厦门、香港等设有分所，在美国、加拿大设有联络处，并在欧洲、日本、澳大利亚、新西兰、新加坡和台湾拥有众多合作伙伴。 </w:t>
      </w:r>
    </w:p>
    <w:p>
      <w:pPr>
        <w:widowControl/>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我们的业务覆盖广泛。我们为许多跨国公司、跨国金融机构、外商投资企业、国家机关和国内外企事业单位等担任常年法律顾问，并在外商投资、证券与上市、公司兼并与收购、企业重组、破产与清算、私募基金与风险投资、银行、保险、期货、资产证券化与结构融资、国际贸易、反倾销、反垄断和贸易保护、房地产与基础设施建设、知识产权、劳动关系、海事海商、税收税制和境内外诉讼与仲裁等各方面为客户提供法律服务。在上述许多领域，锦天城的业务已处于行业领先地位。</w:t>
      </w:r>
    </w:p>
    <w:p>
      <w:pPr>
        <w:widowControl/>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　　为了适应世界经济 一体化、法律服务国际化的需求，锦天城加盟了世界律师事务所联盟——Terralex，成为该世界联盟首个的中国成员。同时，锦天城也是中国第一家国际律师事务所联盟——中世律所联盟（Sino-Global Legal Alliance）——的唯一上海成员所。锦天城已经同包括美国、加拿大、英 国、法国、荷兰、比利时、澳大利亚、新西兰、新加坡、香港、澳门、台湾等国家和地区的130多家律师事务所建立了良好的合作关系，并培训了一批来自国外的律师，他们回国后均从事与中国事务相关的法律方面的工作。此外，锦天城也是中国长江律师（业务）联盟上海地区唯一成员，这一联盟由大陆、香港、台湾“两岸三地”各大城市二十二家著名律师事务所组成，构成跨地域的法律服务网络。因此，我们能够协调众多国内外专业机构和人士，为客户提供全方位、多领域的法律服务。 </w:t>
      </w:r>
    </w:p>
    <w:p>
      <w:pPr>
        <w:widowControl/>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锦天城总部的办公场所分设花旗集团大厦、香港广场写字楼二处，总面积达六千余平方米。事务所内部计算机全部通过局域网络相互联接，拥有先进的文印系统、信息资料系统和网络通讯系统，并且在国际互联网上拥有自己的顶级网站。本所拥有中、英、日三种文字的《中国法律政策动态》、《金融.律师》、《经法周刊》、《房地产沙龙》、《知识产权论坛》等内部刊物七份，定期免费提供给本所客户。现代化的办公场所和一流硬件设施为本所带来完善的物质保证。</w:t>
      </w:r>
    </w:p>
    <w:p>
      <w:pPr>
        <w:widowControl/>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　　上海市锦天城律师事务所是一家能够为广大客户提供全方位法律服务的综合性律师事务所。我们的服务宗旨是"“优质、高效，诚信、敬业”。无论在处理传统或前沿、基本或复杂的法律问题方面，我们都将不断追求最卓越品质和最高效服务。 </w:t>
      </w:r>
    </w:p>
    <w:p>
      <w:pPr>
        <w:spacing w:line="360" w:lineRule="auto"/>
        <w:rPr>
          <w:rFonts w:ascii="仿宋_GB2312" w:hAnsi="宋体" w:eastAsia="仿宋_GB2312"/>
          <w:b/>
          <w:sz w:val="24"/>
        </w:rPr>
      </w:pPr>
      <w:r>
        <w:rPr>
          <w:rFonts w:hint="eastAsia" w:ascii="仿宋_GB2312" w:hAnsi="宋体" w:eastAsia="仿宋_GB2312"/>
          <w:b/>
          <w:sz w:val="24"/>
        </w:rPr>
        <w:t>二、资本市场业务服务领域</w:t>
      </w:r>
    </w:p>
    <w:p>
      <w:pPr>
        <w:spacing w:line="360" w:lineRule="auto"/>
        <w:rPr>
          <w:rFonts w:ascii="仿宋_GB2312" w:hAnsi="宋体" w:eastAsia="仿宋_GB2312"/>
          <w:sz w:val="24"/>
        </w:rPr>
      </w:pPr>
      <w:r>
        <w:rPr>
          <w:rFonts w:hint="eastAsia" w:ascii="仿宋_GB2312" w:hAnsi="宋体" w:eastAsia="仿宋_GB2312"/>
          <w:sz w:val="24"/>
        </w:rPr>
        <w:t>企业股份制改制（包括尽职调查、方案设计、文件起草、法律意见书等）</w:t>
      </w:r>
    </w:p>
    <w:p>
      <w:pPr>
        <w:spacing w:line="360" w:lineRule="auto"/>
        <w:rPr>
          <w:rFonts w:ascii="仿宋_GB2312" w:hAnsi="宋体" w:eastAsia="仿宋_GB2312"/>
          <w:sz w:val="24"/>
        </w:rPr>
      </w:pPr>
      <w:r>
        <w:rPr>
          <w:rFonts w:hint="eastAsia" w:ascii="仿宋_GB2312" w:hAnsi="宋体" w:eastAsia="仿宋_GB2312"/>
          <w:sz w:val="24"/>
        </w:rPr>
        <w:t>企业资产重组（包括资产置换、吸收合并）</w:t>
      </w:r>
    </w:p>
    <w:p>
      <w:pPr>
        <w:spacing w:line="360" w:lineRule="auto"/>
        <w:rPr>
          <w:rFonts w:ascii="仿宋_GB2312" w:hAnsi="宋体" w:eastAsia="仿宋_GB2312"/>
          <w:sz w:val="24"/>
        </w:rPr>
      </w:pPr>
      <w:r>
        <w:rPr>
          <w:rFonts w:hint="eastAsia" w:ascii="仿宋_GB2312" w:hAnsi="宋体" w:eastAsia="仿宋_GB2312"/>
          <w:sz w:val="24"/>
        </w:rPr>
        <w:t>企业境内A股发行与上市</w:t>
      </w:r>
    </w:p>
    <w:p>
      <w:pPr>
        <w:spacing w:line="360" w:lineRule="auto"/>
        <w:rPr>
          <w:rFonts w:ascii="仿宋_GB2312" w:hAnsi="宋体" w:eastAsia="仿宋_GB2312"/>
          <w:sz w:val="24"/>
        </w:rPr>
      </w:pPr>
      <w:r>
        <w:rPr>
          <w:rFonts w:hint="eastAsia" w:ascii="仿宋_GB2312" w:hAnsi="宋体" w:eastAsia="仿宋_GB2312"/>
          <w:sz w:val="24"/>
        </w:rPr>
        <w:t>企业境外发行股票与上市（H股）</w:t>
      </w:r>
    </w:p>
    <w:p>
      <w:pPr>
        <w:spacing w:line="360" w:lineRule="auto"/>
        <w:rPr>
          <w:rFonts w:ascii="仿宋_GB2312" w:hAnsi="宋体" w:eastAsia="仿宋_GB2312"/>
          <w:sz w:val="24"/>
        </w:rPr>
      </w:pPr>
      <w:r>
        <w:rPr>
          <w:rFonts w:hint="eastAsia" w:ascii="仿宋_GB2312" w:hAnsi="宋体" w:eastAsia="仿宋_GB2312"/>
          <w:sz w:val="24"/>
        </w:rPr>
        <w:t>企业境内权益境外上市（红筹）</w:t>
      </w:r>
    </w:p>
    <w:p>
      <w:pPr>
        <w:spacing w:line="360" w:lineRule="auto"/>
        <w:rPr>
          <w:rFonts w:ascii="仿宋_GB2312" w:hAnsi="宋体" w:eastAsia="仿宋_GB2312"/>
          <w:sz w:val="24"/>
        </w:rPr>
      </w:pPr>
      <w:r>
        <w:rPr>
          <w:rFonts w:hint="eastAsia" w:ascii="仿宋_GB2312" w:hAnsi="宋体" w:eastAsia="仿宋_GB2312"/>
          <w:sz w:val="24"/>
        </w:rPr>
        <w:t>境内外上市企业增发新股、配股</w:t>
      </w:r>
    </w:p>
    <w:p>
      <w:pPr>
        <w:spacing w:line="360" w:lineRule="auto"/>
        <w:rPr>
          <w:rFonts w:ascii="仿宋_GB2312" w:hAnsi="宋体" w:eastAsia="仿宋_GB2312"/>
          <w:sz w:val="24"/>
        </w:rPr>
      </w:pPr>
      <w:r>
        <w:rPr>
          <w:rFonts w:hint="eastAsia" w:ascii="仿宋_GB2312" w:hAnsi="宋体" w:eastAsia="仿宋_GB2312"/>
          <w:sz w:val="24"/>
        </w:rPr>
        <w:t>境内企业（包括上市公司）发行公司债、企业债、短期融资券</w:t>
      </w:r>
    </w:p>
    <w:p>
      <w:pPr>
        <w:spacing w:line="360" w:lineRule="auto"/>
        <w:rPr>
          <w:rFonts w:ascii="仿宋_GB2312" w:hAnsi="宋体" w:eastAsia="仿宋_GB2312"/>
          <w:sz w:val="24"/>
        </w:rPr>
      </w:pPr>
      <w:r>
        <w:rPr>
          <w:rFonts w:hint="eastAsia" w:ascii="仿宋_GB2312" w:hAnsi="宋体" w:eastAsia="仿宋_GB2312"/>
          <w:sz w:val="24"/>
        </w:rPr>
        <w:t>境内上市发行可转换公司债券、认股权和债券分离交易的可转换公司债券</w:t>
      </w:r>
    </w:p>
    <w:p>
      <w:pPr>
        <w:spacing w:line="360" w:lineRule="auto"/>
        <w:rPr>
          <w:rFonts w:ascii="仿宋_GB2312" w:hAnsi="宋体" w:eastAsia="仿宋_GB2312"/>
          <w:sz w:val="24"/>
        </w:rPr>
      </w:pPr>
      <w:r>
        <w:rPr>
          <w:rFonts w:hint="eastAsia" w:ascii="仿宋_GB2312" w:hAnsi="宋体" w:eastAsia="仿宋_GB2312"/>
          <w:sz w:val="24"/>
        </w:rPr>
        <w:t>企业资产证券化</w:t>
      </w:r>
    </w:p>
    <w:p>
      <w:pPr>
        <w:spacing w:line="360" w:lineRule="auto"/>
        <w:rPr>
          <w:rFonts w:ascii="仿宋_GB2312" w:hAnsi="宋体" w:eastAsia="仿宋_GB2312"/>
          <w:sz w:val="24"/>
        </w:rPr>
      </w:pPr>
      <w:r>
        <w:rPr>
          <w:rFonts w:hint="eastAsia" w:ascii="仿宋_GB2312" w:hAnsi="宋体" w:eastAsia="仿宋_GB2312"/>
          <w:sz w:val="24"/>
        </w:rPr>
        <w:t>企业国有产权转让</w:t>
      </w:r>
    </w:p>
    <w:p>
      <w:pPr>
        <w:spacing w:line="360" w:lineRule="auto"/>
        <w:rPr>
          <w:rFonts w:ascii="仿宋_GB2312" w:hAnsi="宋体" w:eastAsia="仿宋_GB2312"/>
          <w:sz w:val="24"/>
        </w:rPr>
      </w:pPr>
      <w:r>
        <w:rPr>
          <w:rFonts w:hint="eastAsia" w:ascii="仿宋_GB2312" w:hAnsi="宋体" w:eastAsia="仿宋_GB2312"/>
          <w:sz w:val="24"/>
        </w:rPr>
        <w:t>企业发行中期票据</w:t>
      </w:r>
    </w:p>
    <w:p>
      <w:pPr>
        <w:spacing w:line="360" w:lineRule="auto"/>
        <w:rPr>
          <w:rFonts w:ascii="仿宋_GB2312" w:hAnsi="宋体" w:eastAsia="仿宋_GB2312"/>
          <w:sz w:val="24"/>
        </w:rPr>
      </w:pPr>
      <w:r>
        <w:rPr>
          <w:rFonts w:hint="eastAsia" w:ascii="仿宋_GB2312" w:hAnsi="宋体" w:eastAsia="仿宋_GB2312"/>
          <w:sz w:val="24"/>
        </w:rPr>
        <w:t>上市公司收购、兼并（包括外资并购）</w:t>
      </w:r>
    </w:p>
    <w:p>
      <w:pPr>
        <w:spacing w:line="360" w:lineRule="auto"/>
        <w:rPr>
          <w:rFonts w:ascii="仿宋_GB2312" w:hAnsi="宋体" w:eastAsia="仿宋_GB2312"/>
          <w:sz w:val="24"/>
        </w:rPr>
      </w:pPr>
      <w:r>
        <w:rPr>
          <w:rFonts w:hint="eastAsia" w:ascii="仿宋_GB2312" w:hAnsi="宋体" w:eastAsia="仿宋_GB2312"/>
          <w:sz w:val="24"/>
        </w:rPr>
        <w:t>非上市公司国内外并购</w:t>
      </w:r>
    </w:p>
    <w:p>
      <w:pPr>
        <w:spacing w:line="360" w:lineRule="auto"/>
        <w:rPr>
          <w:rFonts w:ascii="仿宋_GB2312" w:hAnsi="宋体" w:eastAsia="仿宋_GB2312"/>
          <w:sz w:val="24"/>
        </w:rPr>
      </w:pPr>
      <w:r>
        <w:rPr>
          <w:rFonts w:hint="eastAsia" w:ascii="仿宋_GB2312" w:hAnsi="宋体" w:eastAsia="仿宋_GB2312"/>
          <w:sz w:val="24"/>
        </w:rPr>
        <w:t>私募股权基金、风险投资</w:t>
      </w:r>
    </w:p>
    <w:p>
      <w:pPr>
        <w:spacing w:line="360" w:lineRule="auto"/>
        <w:rPr>
          <w:rFonts w:ascii="仿宋_GB2312" w:hAnsi="宋体" w:eastAsia="仿宋_GB2312"/>
          <w:sz w:val="24"/>
        </w:rPr>
      </w:pPr>
      <w:r>
        <w:rPr>
          <w:rFonts w:hint="eastAsia" w:ascii="仿宋_GB2312" w:hAnsi="宋体" w:eastAsia="仿宋_GB2312"/>
          <w:sz w:val="24"/>
        </w:rPr>
        <w:t>上市公司股东大会见证</w:t>
      </w:r>
    </w:p>
    <w:p>
      <w:pPr>
        <w:spacing w:line="360" w:lineRule="auto"/>
        <w:rPr>
          <w:rFonts w:ascii="仿宋_GB2312" w:hAnsi="宋体" w:eastAsia="仿宋_GB2312"/>
          <w:sz w:val="24"/>
        </w:rPr>
      </w:pPr>
      <w:r>
        <w:rPr>
          <w:rFonts w:hint="eastAsia" w:ascii="仿宋_GB2312" w:hAnsi="宋体" w:eastAsia="仿宋_GB2312"/>
          <w:sz w:val="24"/>
        </w:rPr>
        <w:t>非上市公司股份转让推荐</w:t>
      </w:r>
    </w:p>
    <w:p>
      <w:pPr>
        <w:spacing w:line="360" w:lineRule="auto"/>
        <w:rPr>
          <w:rFonts w:ascii="仿宋_GB2312" w:hAnsi="宋体" w:eastAsia="仿宋_GB2312"/>
          <w:sz w:val="24"/>
        </w:rPr>
      </w:pPr>
      <w:r>
        <w:rPr>
          <w:rFonts w:hint="eastAsia" w:ascii="仿宋_GB2312" w:hAnsi="宋体" w:eastAsia="仿宋_GB2312"/>
          <w:sz w:val="24"/>
        </w:rPr>
        <w:t>证券公司、基金管理有限公司设立和清算</w:t>
      </w:r>
    </w:p>
    <w:p>
      <w:pPr>
        <w:spacing w:line="360" w:lineRule="auto"/>
        <w:rPr>
          <w:rFonts w:ascii="仿宋_GB2312" w:hAnsi="宋体" w:eastAsia="仿宋_GB2312"/>
          <w:sz w:val="24"/>
        </w:rPr>
      </w:pPr>
      <w:r>
        <w:rPr>
          <w:rFonts w:hint="eastAsia" w:ascii="仿宋_GB2312" w:hAnsi="宋体" w:eastAsia="仿宋_GB2312"/>
          <w:sz w:val="24"/>
        </w:rPr>
        <w:t>封闭式、开放式证券投资基金设立</w:t>
      </w:r>
    </w:p>
    <w:p>
      <w:pPr>
        <w:spacing w:line="360" w:lineRule="auto"/>
        <w:rPr>
          <w:rFonts w:ascii="仿宋_GB2312" w:hAnsi="宋体" w:eastAsia="仿宋_GB2312"/>
          <w:sz w:val="24"/>
        </w:rPr>
      </w:pPr>
      <w:r>
        <w:rPr>
          <w:rFonts w:hint="eastAsia" w:ascii="仿宋_GB2312" w:hAnsi="宋体" w:eastAsia="仿宋_GB2312"/>
          <w:sz w:val="24"/>
        </w:rPr>
        <w:t>企业（包括上市公司）股权激励方案设计</w:t>
      </w:r>
    </w:p>
    <w:p>
      <w:pPr>
        <w:spacing w:line="360" w:lineRule="auto"/>
        <w:rPr>
          <w:rFonts w:ascii="仿宋_GB2312" w:hAnsi="宋体" w:eastAsia="仿宋_GB2312"/>
          <w:sz w:val="24"/>
        </w:rPr>
      </w:pPr>
      <w:r>
        <w:rPr>
          <w:rFonts w:hint="eastAsia" w:ascii="仿宋_GB2312" w:hAnsi="宋体" w:eastAsia="仿宋_GB2312"/>
          <w:sz w:val="24"/>
        </w:rPr>
        <w:t>证券公司集合资产管理计划</w:t>
      </w:r>
    </w:p>
    <w:p>
      <w:pPr>
        <w:spacing w:line="360" w:lineRule="auto"/>
        <w:rPr>
          <w:rFonts w:ascii="仿宋_GB2312" w:hAnsi="宋体" w:eastAsia="仿宋_GB2312"/>
          <w:sz w:val="24"/>
        </w:rPr>
      </w:pPr>
      <w:r>
        <w:rPr>
          <w:rFonts w:hint="eastAsia" w:ascii="仿宋_GB2312" w:hAnsi="宋体" w:eastAsia="仿宋_GB2312"/>
          <w:sz w:val="24"/>
        </w:rPr>
        <w:t>合资企业（包括中外合资合作）、外商独资企业设立和解散</w:t>
      </w:r>
    </w:p>
    <w:p>
      <w:pPr>
        <w:widowControl/>
        <w:spacing w:before="100" w:beforeAutospacing="1" w:after="100" w:afterAutospacing="1" w:line="360" w:lineRule="auto"/>
        <w:rPr>
          <w:rFonts w:ascii="仿宋_GB2312" w:hAnsi="宋体" w:eastAsia="仿宋_GB2312" w:cs="宋体"/>
          <w:b/>
          <w:kern w:val="0"/>
          <w:sz w:val="24"/>
        </w:rPr>
      </w:pPr>
      <w:r>
        <w:rPr>
          <w:rFonts w:hint="eastAsia" w:ascii="仿宋_GB2312" w:hAnsi="宋体" w:eastAsia="仿宋_GB2312" w:cs="宋体"/>
          <w:b/>
          <w:kern w:val="0"/>
          <w:sz w:val="24"/>
        </w:rPr>
        <w:t>三、专业资格</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司法部、中国证券监督管理委员会颁发的从事证券法律业务资格； </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司法部、中国证券监督管理委员会颁发的从事涉及境内权益的境外公司相关证券业务资格； </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外经贸部批准的外商投资项目咨询代理资格； </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司法部、国家科委、国家国有资产管理局（国资委前身）颁发的从事集体科技企业产权界定法律业务资格； </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上海市司法局批准的涉外见证法律事务资格； </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具有从事国有资产产权法律服务资格； </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 xml:space="preserve">上海市工商行政管理局批准的企业登记代理资格等各项专业法律服务资格； </w:t>
      </w:r>
    </w:p>
    <w:p>
      <w:pPr>
        <w:widowControl/>
        <w:numPr>
          <w:ilvl w:val="0"/>
          <w:numId w:val="1"/>
        </w:numPr>
        <w:spacing w:before="100" w:beforeAutospacing="1" w:after="100" w:afterAutospacing="1" w:line="360" w:lineRule="auto"/>
        <w:rPr>
          <w:rFonts w:ascii="仿宋_GB2312" w:hAnsi="宋体" w:eastAsia="仿宋_GB2312" w:cs="宋体"/>
          <w:kern w:val="0"/>
          <w:sz w:val="24"/>
        </w:rPr>
      </w:pPr>
      <w:r>
        <w:rPr>
          <w:rFonts w:hint="eastAsia" w:ascii="仿宋_GB2312" w:hAnsi="宋体" w:eastAsia="仿宋_GB2312" w:cs="宋体"/>
          <w:kern w:val="0"/>
          <w:sz w:val="24"/>
        </w:rPr>
        <w:t>司法部、国家计委颁发的从事基本建设大中型项目招投标法律业务资格。</w:t>
      </w:r>
    </w:p>
    <w:p>
      <w:pPr>
        <w:rPr>
          <w:rFonts w:ascii="仿宋_GB2312" w:hAnsi="宋体" w:eastAsia="仿宋_GB2312"/>
          <w:b/>
          <w:sz w:val="24"/>
        </w:rPr>
      </w:pPr>
      <w:r>
        <w:rPr>
          <w:rFonts w:hint="eastAsia" w:ascii="仿宋_GB2312" w:hAnsi="宋体" w:eastAsia="仿宋_GB2312"/>
          <w:b/>
          <w:sz w:val="24"/>
        </w:rPr>
        <w:t>四、我们的优势</w:t>
      </w:r>
    </w:p>
    <w:p>
      <w:pPr>
        <w:ind w:firstLine="240" w:firstLineChars="100"/>
        <w:rPr>
          <w:rFonts w:ascii="仿宋_GB2312" w:hAnsi="宋体" w:eastAsia="仿宋_GB2312"/>
          <w:sz w:val="24"/>
        </w:rPr>
      </w:pPr>
      <w:r>
        <w:rPr>
          <w:rFonts w:hint="eastAsia" w:ascii="仿宋_GB2312" w:hAnsi="宋体" w:eastAsia="仿宋_GB2312"/>
          <w:sz w:val="24"/>
        </w:rPr>
        <w:t>1. 人才优势</w:t>
      </w:r>
    </w:p>
    <w:p>
      <w:pPr>
        <w:widowControl/>
        <w:spacing w:before="100" w:beforeAutospacing="1" w:after="100" w:afterAutospacing="1"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锦天城以先进的合伙制体制和民主管理模式，聚集了一大批高素质的法律人才。在500余名注册律师中，具有博士学历的律师30余名，具有教授、副教授、法学硕士学历和中级职称的律师及律师助理200余名，另有超过100名律师曾在美国、英国、德国、加拿大、澳大利亚、日本、法国、香港等地留学或具有国外律师从业经历，在处理国际事务方面具有丰富的经验，能以世界各主要语种，如英语、德语、法语、韩语、俄语、日语、西班牙语等为客户提供服务。</w:t>
      </w:r>
    </w:p>
    <w:p>
      <w:pPr>
        <w:widowControl/>
        <w:spacing w:before="100" w:beforeAutospacing="1" w:after="100" w:afterAutospacing="1"/>
        <w:ind w:firstLine="120" w:firstLineChars="50"/>
        <w:rPr>
          <w:rFonts w:ascii="仿宋_GB2312" w:hAnsi="宋体" w:eastAsia="仿宋_GB2312" w:cs="宋体"/>
          <w:kern w:val="0"/>
          <w:sz w:val="24"/>
        </w:rPr>
      </w:pPr>
      <w:r>
        <w:rPr>
          <w:rFonts w:hint="eastAsia" w:ascii="仿宋_GB2312" w:hAnsi="宋体" w:eastAsia="仿宋_GB2312" w:cs="宋体"/>
          <w:kern w:val="0"/>
          <w:sz w:val="24"/>
        </w:rPr>
        <w:t>2. 品牌优势</w:t>
      </w:r>
    </w:p>
    <w:p>
      <w:pPr>
        <w:widowControl/>
        <w:spacing w:before="100" w:beforeAutospacing="1" w:after="100" w:afterAutospacing="1"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锦天城作为长三角地区最大的律师事务所，服务范围立足江浙沪并辐射到全国各地，成立十年来已全国性的最有影响力的品牌及规模律师事务所之一，在中国证监会首度发布的《2007年证券法律法务业务发展报告》中，锦天城的IPO法律服务业务全国前十，业务量排名第四位，多名律师作为行业资深专家受聘担任中国信托业协会专家理事、企业年金基金管理机构评审专家、证监会发审委员会委员等职务。众多的专业人才和规模化的队伍使本所在业界及众多客户中形成了良好的声誉，世界五百强企业和中国许多大中型企业都是本所的长期服务客户。作为规模化的律师事务所，客户除了能够得到优质的资本市场法律服务外，多元化法律专业领域和全方位的服务使客户遇到的众多法律问题均可在本所帮助下获得满意解决。本所的行业地位和品牌已经成为客户选择本所作为与其行业地位相匹配的中介机构原因之一。</w:t>
      </w:r>
    </w:p>
    <w:p>
      <w:pPr>
        <w:rPr>
          <w:rFonts w:ascii="仿宋_GB2312" w:hAnsi="宋体" w:eastAsia="仿宋_GB2312"/>
          <w:sz w:val="24"/>
        </w:rPr>
      </w:pPr>
    </w:p>
    <w:p>
      <w:pPr>
        <w:ind w:firstLine="120" w:firstLineChars="50"/>
        <w:rPr>
          <w:rFonts w:ascii="仿宋_GB2312" w:hAnsi="宋体" w:eastAsia="仿宋_GB2312" w:cs="宋体"/>
          <w:kern w:val="0"/>
          <w:sz w:val="24"/>
        </w:rPr>
      </w:pPr>
      <w:r>
        <w:rPr>
          <w:rFonts w:hint="eastAsia" w:ascii="仿宋_GB2312" w:hAnsi="宋体" w:eastAsia="仿宋_GB2312" w:cs="宋体"/>
          <w:kern w:val="0"/>
          <w:sz w:val="24"/>
        </w:rPr>
        <w:t>3. 资源优势</w:t>
      </w:r>
    </w:p>
    <w:p>
      <w:pPr>
        <w:spacing w:line="360" w:lineRule="auto"/>
        <w:ind w:firstLine="240" w:firstLineChars="100"/>
        <w:rPr>
          <w:rFonts w:ascii="仿宋_GB2312" w:hAnsi="宋体" w:eastAsia="仿宋_GB2312" w:cs="宋体"/>
          <w:kern w:val="0"/>
          <w:sz w:val="24"/>
        </w:rPr>
      </w:pPr>
      <w:r>
        <w:rPr>
          <w:rFonts w:hint="eastAsia" w:ascii="仿宋_GB2312" w:hAnsi="宋体" w:eastAsia="仿宋_GB2312" w:cs="宋体"/>
          <w:kern w:val="0"/>
          <w:sz w:val="24"/>
        </w:rPr>
        <w:t>律师为企业提供法律服务是一项长期复杂的工作，特别是涉及资本市场如重组、并购、改制、发行上市过程中，需要与券商、会计师、评估师等中介机构合作，锦天城在长期的工作实践中与国内外知名的券商、投资银行、会计师事务所、评估公司、律师事务所、私募基金等机构保持着良好的合作关系，同时担任许多政府部门的常年法律顾问，在中国证券监管部门、外资管理部门、国有资产管理部门、证券交易所等部门有着良好的声誉，并保持畅通的沟通和联系。</w:t>
      </w:r>
    </w:p>
    <w:p>
      <w:pPr>
        <w:ind w:firstLine="120" w:firstLineChars="50"/>
        <w:rPr>
          <w:rFonts w:ascii="仿宋_GB2312" w:hAnsi="宋体" w:eastAsia="仿宋_GB2312" w:cs="宋体"/>
          <w:kern w:val="0"/>
          <w:sz w:val="24"/>
        </w:rPr>
      </w:pPr>
      <w:r>
        <w:rPr>
          <w:rFonts w:hint="eastAsia" w:ascii="仿宋_GB2312" w:hAnsi="宋体" w:eastAsia="仿宋_GB2312" w:cs="宋体"/>
          <w:kern w:val="0"/>
          <w:sz w:val="24"/>
        </w:rPr>
        <w:t>4. 管理优势</w:t>
      </w:r>
    </w:p>
    <w:p>
      <w:pPr>
        <w:spacing w:line="360" w:lineRule="auto"/>
        <w:ind w:firstLine="360" w:firstLineChars="150"/>
        <w:rPr>
          <w:rFonts w:ascii="仿宋_GB2312" w:hAnsi="宋体" w:eastAsia="仿宋_GB2312" w:cs="宋体"/>
          <w:kern w:val="0"/>
          <w:sz w:val="24"/>
        </w:rPr>
      </w:pPr>
      <w:r>
        <w:rPr>
          <w:rFonts w:hint="eastAsia" w:ascii="仿宋_GB2312" w:hAnsi="宋体" w:eastAsia="仿宋_GB2312" w:cs="宋体"/>
          <w:kern w:val="0"/>
          <w:sz w:val="24"/>
        </w:rPr>
        <w:t>锦天城的管理模式与世界领先的律师事务所高度接轨，我们是高度专业化分工的律师事务所。锦天城现有一百八十多名合伙人，都有相应的专业领域，如金融证券、房地产、反倾销、诉讼等等，这些专业分工使锦天城这么多年在不同领域成就了很多顶尖的专家。</w:t>
      </w:r>
    </w:p>
    <w:p>
      <w:pPr>
        <w:ind w:firstLine="120" w:firstLineChars="50"/>
        <w:rPr>
          <w:rFonts w:ascii="仿宋_GB2312" w:hAnsi="宋体" w:eastAsia="仿宋_GB2312" w:cs="宋体"/>
          <w:kern w:val="0"/>
          <w:sz w:val="24"/>
        </w:rPr>
      </w:pPr>
      <w:r>
        <w:rPr>
          <w:rFonts w:hint="eastAsia" w:ascii="仿宋_GB2312" w:hAnsi="宋体" w:eastAsia="仿宋_GB2312" w:cs="宋体"/>
          <w:kern w:val="0"/>
          <w:sz w:val="24"/>
        </w:rPr>
        <w:t>5. 团队服务</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 xml:space="preserve">     锦天城的团队服务模式保证了每一个客户都能得到最专业化的高质量服务。我们将依据客户要求或基于相关法律需求的特点，组建专门的法律顾问团队，团队由合伙人、专业律师、律师助理、律师秘书等组成，并由合伙人总负责，资深律师担任现场的项目负责人，并指定其他经办律师。每日律师为客户服务的内容和工作成果上传内部的工作量网站，且按服务质量标准对律师工作进行审核、复查和监督，日清日毕。除了现场服务的律师，锦天城内部的质量管理体系、各专业委员会、各种疑难问题的讨论平台和解决机制都是对客户的强大支持和保障，有效保证了客户服务的质量和效率，使每个客户真正获得整个锦天城资源的服务，团队服务和解决问题的高效率已成为我们法律服务的特色和优势之一。</w:t>
      </w:r>
    </w:p>
    <w:p>
      <w:pPr>
        <w:spacing w:line="360" w:lineRule="auto"/>
        <w:rPr>
          <w:rFonts w:ascii="仿宋_GB2312" w:hAnsi="宋体" w:eastAsia="仿宋_GB2312" w:cs="宋体"/>
          <w:kern w:val="0"/>
          <w:sz w:val="24"/>
        </w:rPr>
      </w:pPr>
    </w:p>
    <w:p>
      <w:pPr>
        <w:rPr>
          <w:rFonts w:ascii="仿宋_GB2312" w:hAnsi="宋体" w:eastAsia="仿宋_GB2312"/>
          <w:b/>
          <w:sz w:val="24"/>
        </w:rPr>
      </w:pPr>
      <w:r>
        <w:rPr>
          <w:rFonts w:hint="eastAsia" w:ascii="仿宋_GB2312" w:hAnsi="宋体" w:eastAsia="仿宋_GB2312"/>
          <w:b/>
          <w:sz w:val="24"/>
        </w:rPr>
        <w:t>五、上海锦天城律师事务所——杭州团队主营业务</w:t>
      </w:r>
    </w:p>
    <w:p>
      <w:pPr>
        <w:spacing w:line="360" w:lineRule="auto"/>
        <w:ind w:firstLine="495"/>
        <w:rPr>
          <w:rFonts w:ascii="仿宋_GB2312" w:hAnsi="宋体" w:eastAsia="仿宋_GB2312"/>
          <w:sz w:val="24"/>
        </w:rPr>
      </w:pPr>
      <w:r>
        <w:rPr>
          <w:rFonts w:hint="eastAsia" w:ascii="仿宋_GB2312" w:hAnsi="宋体" w:eastAsia="仿宋_GB2312"/>
          <w:sz w:val="24"/>
        </w:rPr>
        <w:t>杭州团队是一个专业性非常强的金融律师团队，主要从事国内外IPO业务、上市或非上市工作相关业务、并购重组、信托及上市公司及拟上市公司日常的法律服务等。</w:t>
      </w:r>
    </w:p>
    <w:p>
      <w:pPr>
        <w:spacing w:line="360" w:lineRule="auto"/>
        <w:ind w:firstLine="495"/>
        <w:rPr>
          <w:rFonts w:ascii="仿宋_GB2312" w:hAnsi="宋体" w:eastAsia="仿宋_GB2312"/>
          <w:sz w:val="24"/>
        </w:rPr>
      </w:pPr>
    </w:p>
    <w:p>
      <w:pPr>
        <w:rPr>
          <w:rFonts w:ascii="仿宋_GB2312" w:hAnsi="宋体" w:eastAsia="仿宋_GB2312"/>
          <w:b/>
          <w:sz w:val="24"/>
        </w:rPr>
      </w:pPr>
      <w:r>
        <w:rPr>
          <w:rFonts w:hint="eastAsia" w:ascii="仿宋_GB2312" w:hAnsi="宋体" w:eastAsia="仿宋_GB2312"/>
          <w:b/>
          <w:sz w:val="24"/>
        </w:rPr>
        <w:t>六、上海市锦天城律师事务所——杭州团队精神</w:t>
      </w:r>
    </w:p>
    <w:p>
      <w:pPr>
        <w:rPr>
          <w:rFonts w:ascii="仿宋_GB2312" w:hAnsi="宋体" w:eastAsia="仿宋_GB2312"/>
          <w:b/>
          <w:sz w:val="24"/>
        </w:rPr>
      </w:pPr>
    </w:p>
    <w:p>
      <w:pPr>
        <w:ind w:firstLine="1560" w:firstLineChars="650"/>
        <w:rPr>
          <w:rFonts w:ascii="仿宋_GB2312" w:hAnsi="宋体" w:eastAsia="仿宋_GB2312"/>
          <w:sz w:val="24"/>
        </w:rPr>
      </w:pPr>
      <w:r>
        <w:rPr>
          <w:rFonts w:hint="eastAsia" w:ascii="仿宋_GB2312" w:hAnsi="宋体" w:eastAsia="仿宋_GB2312"/>
          <w:sz w:val="24"/>
        </w:rPr>
        <w:t xml:space="preserve"> 倡导“惠人达己，守正出奇” 的“八字方针”</w:t>
      </w:r>
    </w:p>
    <w:p>
      <w:pPr>
        <w:ind w:firstLine="1800" w:firstLineChars="750"/>
        <w:rPr>
          <w:rFonts w:ascii="仿宋_GB2312" w:hAnsi="宋体" w:eastAsia="仿宋_GB2312"/>
          <w:sz w:val="24"/>
        </w:rPr>
      </w:pPr>
    </w:p>
    <w:p>
      <w:pPr>
        <w:spacing w:after="156" w:afterLines="50"/>
        <w:rPr>
          <w:rFonts w:ascii="仿宋_GB2312" w:hAnsi="宋体" w:eastAsia="仿宋_GB2312"/>
          <w:sz w:val="24"/>
        </w:rPr>
      </w:pPr>
      <w:r>
        <w:rPr>
          <w:rFonts w:hint="eastAsia" w:ascii="仿宋_GB2312" w:hAnsi="宋体" w:eastAsia="仿宋_GB2312"/>
          <w:b/>
          <w:sz w:val="24"/>
        </w:rPr>
        <w:t>七、上海市锦天城律师事务所——杭州团队管理模式</w:t>
      </w:r>
    </w:p>
    <w:p>
      <w:pPr>
        <w:spacing w:after="156" w:afterLines="50" w:line="360" w:lineRule="auto"/>
        <w:rPr>
          <w:rFonts w:ascii="仿宋_GB2312" w:hAnsi="宋体" w:eastAsia="仿宋_GB2312"/>
          <w:sz w:val="24"/>
        </w:rPr>
      </w:pPr>
      <w:r>
        <w:rPr>
          <w:rFonts w:hint="eastAsia" w:ascii="仿宋_GB2312" w:hAnsi="宋体" w:eastAsia="仿宋_GB2312"/>
          <w:sz w:val="24"/>
        </w:rPr>
        <w:t xml:space="preserve">    </w:t>
      </w:r>
      <w:r>
        <w:rPr>
          <w:rFonts w:hint="eastAsia" w:ascii="仿宋_GB2312" w:hAnsi="宋体" w:eastAsia="仿宋_GB2312" w:cs="宋体"/>
          <w:kern w:val="0"/>
          <w:sz w:val="24"/>
        </w:rPr>
        <w:t>以先进的合伙制体制和公司化管理模式组建而成。以目标责任制及项目责任制管理为主。实行“日清日毕”，采用季度、年度及上岗竞聘考核方式来推送奖励与各晋降制度，为员工提供成长平台。</w:t>
      </w:r>
    </w:p>
    <w:p>
      <w:pPr>
        <w:spacing w:after="156" w:afterLines="50"/>
        <w:rPr>
          <w:rFonts w:ascii="仿宋_GB2312" w:hAnsi="宋体" w:eastAsia="仿宋_GB2312"/>
          <w:sz w:val="24"/>
        </w:rPr>
      </w:pPr>
      <w:r>
        <w:rPr>
          <w:rFonts w:hint="eastAsia" w:ascii="仿宋_GB2312" w:hAnsi="宋体" w:eastAsia="仿宋_GB2312"/>
          <w:b/>
          <w:sz w:val="24"/>
        </w:rPr>
        <w:t>九、上海市锦天城律师事务所——杭州团队人才优势</w:t>
      </w:r>
    </w:p>
    <w:p>
      <w:pPr>
        <w:spacing w:after="156" w:afterLines="50" w:line="360" w:lineRule="auto"/>
        <w:ind w:firstLine="600" w:firstLineChars="250"/>
        <w:rPr>
          <w:rFonts w:ascii="仿宋_GB2312" w:hAnsi="宋体" w:eastAsia="仿宋_GB2312" w:cs="宋体"/>
          <w:kern w:val="0"/>
          <w:sz w:val="24"/>
        </w:rPr>
      </w:pPr>
      <w:r>
        <w:rPr>
          <w:rFonts w:hint="eastAsia" w:ascii="仿宋_GB2312" w:hAnsi="宋体" w:eastAsia="仿宋_GB2312" w:cs="宋体"/>
          <w:kern w:val="0"/>
          <w:sz w:val="24"/>
        </w:rPr>
        <w:t>杭州团队聚集了一大批高素质的法律人才。在平均年龄为30岁的近六十几名员工中，具有博士学历以上的律师2名，60%以上的律师具有硕士学历，另有律师曾在英国、香港等地留学或具有国外律师从业经历，在处理国际事务方面具有丰富的经验，能以世界各主要语种，如英语、日语等为客户提供服务。</w:t>
      </w:r>
    </w:p>
    <w:p>
      <w:pPr>
        <w:spacing w:after="156" w:afterLines="50" w:line="360" w:lineRule="auto"/>
        <w:ind w:firstLine="600" w:firstLineChars="250"/>
        <w:rPr>
          <w:rFonts w:ascii="仿宋_GB2312" w:hAnsi="宋体" w:eastAsia="仿宋_GB2312" w:cs="宋体"/>
          <w:kern w:val="0"/>
          <w:sz w:val="24"/>
        </w:rPr>
      </w:pPr>
    </w:p>
    <w:p>
      <w:pPr>
        <w:spacing w:after="156" w:afterLines="50"/>
        <w:ind w:firstLine="600" w:firstLineChars="250"/>
        <w:rPr>
          <w:rFonts w:ascii="仿宋_GB2312" w:hAnsi="宋体" w:eastAsia="仿宋_GB2312"/>
          <w:b/>
          <w:sz w:val="24"/>
        </w:rPr>
      </w:pPr>
      <w:r>
        <w:rPr>
          <w:rFonts w:hint="eastAsia" w:ascii="仿宋_GB2312" w:hAnsi="宋体" w:eastAsia="仿宋_GB2312" w:cs="宋体"/>
          <w:kern w:val="0"/>
          <w:sz w:val="24"/>
        </w:rPr>
        <w:t xml:space="preserve">                </w:t>
      </w:r>
      <w:r>
        <w:rPr>
          <w:rFonts w:hint="eastAsia" w:ascii="仿宋_GB2312" w:hAnsi="宋体" w:eastAsia="仿宋_GB2312" w:cs="宋体"/>
          <w:b/>
          <w:kern w:val="0"/>
          <w:sz w:val="24"/>
        </w:rPr>
        <w:t>欢迎选择锦天城的每一位同学！</w:t>
      </w:r>
    </w:p>
    <w:p>
      <w:pPr>
        <w:rPr>
          <w:rFonts w:ascii="仿宋_GB2312" w:hAnsi="宋体" w:eastAsia="仿宋_GB2312"/>
          <w:sz w:val="24"/>
        </w:rPr>
      </w:pPr>
    </w:p>
    <w:p>
      <w:pPr>
        <w:rPr>
          <w:rFonts w:ascii="仿宋_GB2312" w:hAnsi="宋体" w:eastAsia="仿宋_GB2312"/>
          <w:sz w:val="24"/>
        </w:rPr>
      </w:pPr>
    </w:p>
    <w:p/>
    <w:sectPr>
      <w:pgSz w:w="11906" w:h="16838"/>
      <w:pgMar w:top="1440" w:right="1797" w:bottom="1440" w:left="279" w:header="851" w:footer="992" w:gutter="170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0000000000000000000"/>
    <w:charset w:val="86"/>
    <w:family w:val="auto"/>
    <w:pitch w:val="default"/>
    <w:sig w:usb0="00000000"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12659952">
    <w:nsid w:val="366615F0"/>
    <w:multiLevelType w:val="multilevel"/>
    <w:tmpl w:val="366615F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num w:numId="1">
    <w:abstractNumId w:val="9126599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D2227"/>
    <w:rsid w:val="001E5770"/>
    <w:rsid w:val="004E787B"/>
    <w:rsid w:val="006D2227"/>
    <w:rsid w:val="009C2BFC"/>
    <w:rsid w:val="00E55D72"/>
    <w:rsid w:val="1EFF57F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510</Words>
  <Characters>2907</Characters>
  <Lines>24</Lines>
  <Paragraphs>6</Paragraphs>
  <TotalTime>0</TotalTime>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2013-10-09T05:18:00Z</dcterms:created>
  <dc:creator>CHX</dc:creator>
  <cp:lastModifiedBy>Administrator</cp:lastModifiedBy>
  <dcterms:modified xsi:type="dcterms:W3CDTF">2015-10-29T03:07:17Z</dcterms:modified>
  <dc:title>上海锦天城（杭州）律师事务所介绍</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