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v:background id="矩形 0"/>
  </w:background>
  <w:body>
    <w:p>
      <w:pPr>
        <w:pStyle w:val="5"/>
        <w:spacing w:before="0" w:beforeAutospacing="0" w:after="0" w:afterAutospacing="0"/>
        <w:jc w:val="center"/>
        <w:rPr>
          <w:rFonts w:ascii="华文中宋" w:hAnsi="华文中宋" w:eastAsia="华文中宋"/>
          <w:b/>
          <w:color w:val="C00000"/>
          <w:sz w:val="44"/>
          <w:szCs w:val="44"/>
        </w:rPr>
      </w:pPr>
      <w:bookmarkStart w:id="0" w:name="_GoBack"/>
      <w:bookmarkEnd w:id="0"/>
      <w:r>
        <w:rPr>
          <w:rFonts w:hint="eastAsia" w:ascii="华文中宋" w:hAnsi="华文中宋" w:eastAsia="华文中宋"/>
          <w:b/>
          <w:color w:val="C00000"/>
          <w:sz w:val="44"/>
          <w:szCs w:val="44"/>
        </w:rPr>
        <w:t>中国石化销售有限公司华南分公司简介</w:t>
      </w:r>
    </w:p>
    <w:p>
      <w:pPr>
        <w:pStyle w:val="5"/>
        <w:spacing w:before="0" w:beforeAutospacing="0" w:after="0" w:afterAutospacing="0" w:line="580" w:lineRule="atLeast"/>
        <w:jc w:val="center"/>
      </w:pPr>
    </w:p>
    <w:p>
      <w:pPr>
        <w:pStyle w:val="5"/>
        <w:spacing w:before="0" w:beforeAutospacing="0" w:after="0" w:afterAutospacing="0"/>
        <w:ind w:firstLine="499" w:firstLineChars="208"/>
        <w:rPr>
          <w:rFonts w:ascii="华文中宋" w:hAnsi="华文中宋" w:eastAsia="华文中宋"/>
        </w:rPr>
      </w:pPr>
      <w:r>
        <w:rPr>
          <w:rFonts w:hint="eastAsia" w:ascii="华文中宋" w:hAnsi="华文中宋" w:eastAsia="华文中宋"/>
        </w:rPr>
        <w:t>中国石化销售有限公司华南分公司（简称销售华南分公司）是中国石化销售有限公司属下的四个大区公司之一，主要负责华南、西南五省区的成品油资源配置和调运以及华南成品油管网的运营管理和发展建设。</w:t>
      </w:r>
    </w:p>
    <w:p>
      <w:pPr>
        <w:pStyle w:val="5"/>
        <w:spacing w:before="0" w:beforeAutospacing="0" w:after="0" w:afterAutospacing="0"/>
        <w:ind w:firstLine="500" w:firstLineChars="208"/>
        <w:rPr>
          <w:rFonts w:ascii="华文中宋" w:hAnsi="华文中宋" w:eastAsia="华文中宋"/>
        </w:rPr>
      </w:pPr>
      <w:r>
        <w:rPr>
          <w:rFonts w:hint="eastAsia" w:ascii="华文中宋" w:hAnsi="华文中宋" w:eastAsia="华文中宋"/>
          <w:b/>
          <w:color w:val="C00000"/>
        </w:rPr>
        <w:t>华南成品油管网覆盖面广，技术水平先进</w:t>
      </w:r>
      <w:r>
        <w:rPr>
          <w:rFonts w:hint="eastAsia" w:ascii="华文中宋" w:hAnsi="华文中宋" w:eastAsia="华文中宋"/>
          <w:b/>
        </w:rPr>
        <w:t>。</w:t>
      </w:r>
      <w:r>
        <w:rPr>
          <w:rFonts w:hint="eastAsia" w:ascii="华文中宋" w:hAnsi="华文中宋" w:eastAsia="华文中宋"/>
        </w:rPr>
        <w:t>管道全长近4000公里，途经广东、广西、贵州、云南四省区53个地市，采用国际先进的SCADA系统实行集中远程控制，可同时顺序输送各类汽柴油等，设计输量2200万吨/年。目前百色-昆明、贵阳-重庆-简阳等多条成品油管道正在建设中，建成后总长度将达到7000公里，企业具有良好的发展远景。</w:t>
      </w:r>
    </w:p>
    <w:p>
      <w:pPr>
        <w:pStyle w:val="5"/>
        <w:spacing w:before="0" w:beforeAutospacing="0" w:after="0" w:afterAutospacing="0"/>
        <w:ind w:firstLine="601" w:firstLineChars="250"/>
        <w:rPr>
          <w:rFonts w:ascii="华文中宋" w:hAnsi="华文中宋" w:eastAsia="华文中宋"/>
        </w:rPr>
      </w:pPr>
      <w:r>
        <w:rPr>
          <w:rFonts w:hint="eastAsia" w:ascii="华文中宋" w:hAnsi="华文中宋" w:eastAsia="华文中宋"/>
          <w:b/>
          <w:color w:val="C00000"/>
        </w:rPr>
        <w:t>企业新，队伍年轻，员工发展机会多</w:t>
      </w:r>
      <w:r>
        <w:rPr>
          <w:rFonts w:hint="eastAsia" w:ascii="华文中宋" w:hAnsi="华文中宋" w:eastAsia="华文中宋"/>
          <w:b/>
        </w:rPr>
        <w:t>。</w:t>
      </w:r>
      <w:r>
        <w:rPr>
          <w:rFonts w:hint="eastAsia" w:ascii="华文中宋" w:hAnsi="华文中宋" w:eastAsia="华文中宋"/>
        </w:rPr>
        <w:t xml:space="preserve">公司目前共有员工1000多人，平均年龄32岁。公司机关总部在广州，实行公司－输油管理处－输油站三级管理模式，机关有9个职能处室和3个直属中心，沿线有7个输油管理处（分别设于深圳、茂名、南宁、柳州、贵阳、昆明、蒙自）、54个输油站、5个驻厂办事处。引进的高校毕业生安排在各类经营管理和专业技术岗位。企业快速发展，为新员工提供了更多的发展机会和成长空间。 </w:t>
      </w:r>
    </w:p>
    <w:p>
      <w:pPr>
        <w:pStyle w:val="5"/>
        <w:spacing w:before="0" w:beforeAutospacing="0" w:after="0" w:afterAutospacing="0"/>
        <w:ind w:firstLine="601" w:firstLineChars="250"/>
        <w:rPr>
          <w:rFonts w:ascii="华文中宋" w:hAnsi="华文中宋" w:eastAsia="华文中宋"/>
        </w:rPr>
      </w:pPr>
      <w:r>
        <w:rPr>
          <w:rFonts w:hint="eastAsia" w:ascii="华文中宋" w:hAnsi="华文中宋" w:eastAsia="华文中宋"/>
          <w:b/>
        </w:rPr>
        <w:t>国有企业工作稳定，管理规范，有良好的薪酬福利待遇，企业和员工共同发展，有良好的发展前景。</w:t>
      </w:r>
    </w:p>
    <w:p>
      <w:pPr>
        <w:pStyle w:val="5"/>
        <w:spacing w:before="0" w:beforeAutospacing="0" w:after="0" w:afterAutospacing="0"/>
        <w:ind w:firstLine="560"/>
        <w:rPr>
          <w:rFonts w:ascii="仿宋_GB2312" w:eastAsia="仿宋_GB2312"/>
        </w:rPr>
      </w:pPr>
      <w:r>
        <w:rPr>
          <w:rFonts w:ascii="宋体" w:hAnsi="宋体" w:eastAsia="宋体" w:cs="宋体"/>
          <w:kern w:val="0"/>
          <w:sz w:val="24"/>
          <w:szCs w:val="24"/>
          <w:lang w:val="en-US" w:eastAsia="zh-CN" w:bidi="ar-SA"/>
        </w:rPr>
        <w:pict>
          <v:shape id="图片 2" o:spid="_x0000_s1026" type="#_x0000_t75" style="height:140.35pt;width:500.2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pStyle w:val="5"/>
        <w:spacing w:before="0" w:beforeAutospacing="0" w:after="0" w:afterAutospacing="0"/>
        <w:ind w:firstLine="1139" w:firstLineChars="316"/>
        <w:rPr>
          <w:rFonts w:ascii="华文行楷" w:eastAsia="华文行楷"/>
          <w:b/>
          <w:color w:val="C00000"/>
          <w:sz w:val="36"/>
          <w:szCs w:val="36"/>
        </w:rPr>
      </w:pPr>
      <w:r>
        <w:rPr>
          <w:rFonts w:hint="eastAsia" w:ascii="华文行楷" w:eastAsia="华文行楷"/>
          <w:b/>
          <w:color w:val="C00000"/>
          <w:sz w:val="36"/>
          <w:szCs w:val="36"/>
        </w:rPr>
        <w:t>销售华南分公司热忱欢迎优秀毕业生与企业共同成长发展！</w:t>
      </w:r>
    </w:p>
    <w:p>
      <w:pPr>
        <w:pStyle w:val="5"/>
        <w:spacing w:before="0" w:beforeAutospacing="0" w:after="0" w:afterAutospacing="0" w:line="560" w:lineRule="atLeast"/>
        <w:rPr>
          <w:rFonts w:ascii="华文中宋" w:hAnsi="华文中宋" w:eastAsia="华文中宋"/>
          <w:b/>
          <w:color w:val="C00000"/>
          <w:sz w:val="32"/>
          <w:szCs w:val="32"/>
        </w:rPr>
      </w:pPr>
      <w:r>
        <w:rPr>
          <w:rFonts w:hint="eastAsia"/>
          <w:sz w:val="18"/>
          <w:szCs w:val="18"/>
        </w:rPr>
        <w:t xml:space="preserve">             </w:t>
      </w:r>
      <w:r>
        <w:rPr>
          <w:rFonts w:hint="eastAsia" w:ascii="华文中宋" w:hAnsi="华文中宋" w:eastAsia="华文中宋"/>
          <w:b/>
          <w:color w:val="C00000"/>
          <w:sz w:val="32"/>
          <w:szCs w:val="32"/>
        </w:rPr>
        <w:t>销售华南分公司2016年度毕业生招聘岗位明细表</w:t>
      </w:r>
    </w:p>
    <w:tbl>
      <w:tblPr>
        <w:tblStyle w:val="8"/>
        <w:tblW w:w="10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
      <w:tblGrid>
        <w:gridCol w:w="1211"/>
        <w:gridCol w:w="567"/>
        <w:gridCol w:w="1000"/>
        <w:gridCol w:w="559"/>
        <w:gridCol w:w="4862"/>
        <w:gridCol w:w="1170"/>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PrEx>
        <w:trPr>
          <w:trHeight w:val="720" w:hRule="atLeast"/>
          <w:jc w:val="center"/>
        </w:trPr>
        <w:tc>
          <w:tcPr>
            <w:tcW w:w="1211"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招聘岗位</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招聘人数</w:t>
            </w:r>
          </w:p>
        </w:tc>
        <w:tc>
          <w:tcPr>
            <w:tcW w:w="1000"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工作地点</w:t>
            </w: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学历要求</w:t>
            </w:r>
          </w:p>
        </w:tc>
        <w:tc>
          <w:tcPr>
            <w:tcW w:w="4862"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专业要求</w:t>
            </w:r>
          </w:p>
        </w:tc>
        <w:tc>
          <w:tcPr>
            <w:tcW w:w="1170"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外语水平要求</w:t>
            </w:r>
          </w:p>
        </w:tc>
        <w:tc>
          <w:tcPr>
            <w:tcW w:w="154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1044"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管道技术管理岗</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4</w:t>
            </w:r>
          </w:p>
        </w:tc>
        <w:tc>
          <w:tcPr>
            <w:tcW w:w="1000" w:type="dxa"/>
            <w:shd w:val="clear" w:color="auto" w:fill="DAEEF3"/>
            <w:vAlign w:val="center"/>
          </w:tcPr>
          <w:p>
            <w:pPr>
              <w:widowControl/>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广州</w:t>
            </w: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硕研、博研</w:t>
            </w:r>
          </w:p>
        </w:tc>
        <w:tc>
          <w:tcPr>
            <w:tcW w:w="4862" w:type="dxa"/>
            <w:shd w:val="clear" w:color="auto" w:fill="DAEEF3"/>
            <w:vAlign w:val="center"/>
          </w:tcPr>
          <w:p>
            <w:pPr>
              <w:widowControl/>
              <w:rPr>
                <w:sz w:val="16"/>
                <w:szCs w:val="16"/>
              </w:rPr>
            </w:pPr>
            <w:r>
              <w:rPr>
                <w:rFonts w:hint="eastAsia"/>
                <w:sz w:val="16"/>
                <w:szCs w:val="16"/>
              </w:rPr>
              <w:t>硕研：油气储运工程；金属材料工程（防腐方向），材料科学与工程(金属防腐方向)，材料物理(金属防腐方向)，材料化学(金属防腐方向)，材料学(金属防腐方向)，材料工程；机械工程，机械工程及自动化，机械设计制造及其自动化，过程装备与控制工程，机械制造与自动化，机械设计及理论，机械工程，化工过程机械。</w:t>
            </w:r>
            <w:r>
              <w:rPr>
                <w:rFonts w:hint="eastAsia"/>
                <w:sz w:val="16"/>
                <w:szCs w:val="16"/>
              </w:rPr>
              <w:br/>
            </w:r>
            <w:r>
              <w:rPr>
                <w:rFonts w:hint="eastAsia"/>
                <w:sz w:val="16"/>
                <w:szCs w:val="16"/>
              </w:rPr>
              <w:t>博研：油气储运工程；金属材料工程（防腐方向），材料科学与工程(金属防腐方向)，材料物理(金属防腐方向)，材料化学(金属防腐方向)，材料学(金属防腐方向)，材料工程；机械工程，机械工程及自动化，机械设计制造及其自动化，过程装备与控制工程，机械制造与自动化，机械设计及理论，机械工程，化工过程机械</w:t>
            </w:r>
          </w:p>
        </w:tc>
        <w:tc>
          <w:tcPr>
            <w:tcW w:w="1170" w:type="dxa"/>
            <w:shd w:val="clear" w:color="auto" w:fill="DAEEF3"/>
            <w:vAlign w:val="center"/>
          </w:tcPr>
          <w:p>
            <w:pPr>
              <w:widowControl/>
              <w:rPr>
                <w:rFonts w:ascii="宋体" w:hAnsi="宋体" w:eastAsia="宋体" w:cs="宋体"/>
                <w:kern w:val="0"/>
                <w:sz w:val="11"/>
                <w:szCs w:val="11"/>
              </w:rPr>
            </w:pPr>
            <w:r>
              <w:rPr>
                <w:rFonts w:hint="eastAsia" w:ascii="宋体" w:hAnsi="宋体" w:eastAsia="宋体" w:cs="宋体"/>
                <w:kern w:val="0"/>
                <w:sz w:val="11"/>
                <w:szCs w:val="11"/>
              </w:rPr>
              <w:t>硕研、博研英语六级（CET-6）425分及以上或相当水平</w:t>
            </w:r>
          </w:p>
        </w:tc>
        <w:tc>
          <w:tcPr>
            <w:tcW w:w="1547" w:type="dxa"/>
            <w:shd w:val="clear" w:color="auto" w:fill="DAEEF3"/>
            <w:vAlign w:val="center"/>
          </w:tcPr>
          <w:p>
            <w:pPr>
              <w:widowControl/>
              <w:rPr>
                <w:rFonts w:ascii="黑体" w:hAnsi="黑体" w:eastAsia="黑体" w:cs="宋体"/>
                <w:b/>
                <w:kern w:val="0"/>
                <w:sz w:val="13"/>
                <w:szCs w:val="13"/>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748"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工程审计管理岗</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2</w:t>
            </w:r>
          </w:p>
        </w:tc>
        <w:tc>
          <w:tcPr>
            <w:tcW w:w="1000" w:type="dxa"/>
            <w:shd w:val="clear" w:color="auto" w:fill="DAEEF3"/>
            <w:vAlign w:val="center"/>
          </w:tcPr>
          <w:p>
            <w:pPr>
              <w:widowControl/>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广州</w:t>
            </w: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widowControl/>
              <w:rPr>
                <w:sz w:val="16"/>
                <w:szCs w:val="16"/>
              </w:rPr>
            </w:pPr>
            <w:r>
              <w:rPr>
                <w:rFonts w:hint="eastAsia"/>
                <w:sz w:val="16"/>
                <w:szCs w:val="16"/>
              </w:rPr>
              <w:t>本科：工程管理，工程造价，项目管理</w:t>
            </w:r>
            <w:r>
              <w:rPr>
                <w:rFonts w:hint="eastAsia"/>
                <w:sz w:val="16"/>
                <w:szCs w:val="16"/>
              </w:rPr>
              <w:br/>
            </w:r>
            <w:r>
              <w:rPr>
                <w:rFonts w:hint="eastAsia"/>
                <w:sz w:val="16"/>
                <w:szCs w:val="16"/>
              </w:rPr>
              <w:t>硕研：工程管理，项目管理</w:t>
            </w:r>
          </w:p>
        </w:tc>
        <w:tc>
          <w:tcPr>
            <w:tcW w:w="1170" w:type="dxa"/>
            <w:vMerge w:val="restart"/>
            <w:shd w:val="clear" w:color="auto" w:fill="DAEEF3"/>
            <w:vAlign w:val="center"/>
          </w:tcPr>
          <w:p>
            <w:pPr>
              <w:rPr>
                <w:rFonts w:ascii="宋体" w:hAnsi="宋体" w:eastAsia="宋体" w:cs="宋体"/>
                <w:kern w:val="0"/>
                <w:sz w:val="11"/>
                <w:szCs w:val="11"/>
              </w:rPr>
            </w:pPr>
            <w:r>
              <w:rPr>
                <w:rFonts w:hint="eastAsia" w:ascii="宋体" w:hAnsi="宋体" w:eastAsia="宋体" w:cs="宋体"/>
                <w:kern w:val="0"/>
                <w:sz w:val="11"/>
                <w:szCs w:val="11"/>
              </w:rPr>
              <w:t>本科英语四级（CET-4）425分及以上或相当水平</w:t>
            </w:r>
            <w:r>
              <w:rPr>
                <w:rFonts w:hint="eastAsia" w:ascii="宋体" w:hAnsi="宋体" w:eastAsia="宋体" w:cs="宋体"/>
                <w:kern w:val="0"/>
                <w:sz w:val="11"/>
                <w:szCs w:val="11"/>
              </w:rPr>
              <w:br/>
            </w:r>
            <w:r>
              <w:rPr>
                <w:rFonts w:hint="eastAsia" w:ascii="宋体" w:hAnsi="宋体" w:eastAsia="宋体" w:cs="宋体"/>
                <w:kern w:val="0"/>
                <w:sz w:val="11"/>
                <w:szCs w:val="11"/>
              </w:rPr>
              <w:t>硕研英语六级（CET-6）425分及以上或相当水平</w:t>
            </w:r>
          </w:p>
        </w:tc>
        <w:tc>
          <w:tcPr>
            <w:tcW w:w="1547" w:type="dxa"/>
            <w:shd w:val="clear" w:color="auto" w:fill="DAEEF3"/>
            <w:vAlign w:val="center"/>
          </w:tcPr>
          <w:p>
            <w:pPr>
              <w:widowControl/>
              <w:jc w:val="center"/>
              <w:rPr>
                <w:rFonts w:ascii="黑体" w:hAnsi="黑体" w:eastAsia="黑体" w:cs="宋体"/>
                <w:b/>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702"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仪表管理岗</w:t>
            </w:r>
            <w:r>
              <w:rPr>
                <w:rFonts w:ascii="黑体" w:hAnsi="黑体" w:eastAsia="黑体" w:cs="宋体"/>
                <w:b/>
                <w:kern w:val="0"/>
                <w:sz w:val="13"/>
                <w:szCs w:val="13"/>
              </w:rPr>
              <w:t xml:space="preserve"> </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4</w:t>
            </w:r>
          </w:p>
        </w:tc>
        <w:tc>
          <w:tcPr>
            <w:tcW w:w="1000" w:type="dxa"/>
            <w:vMerge w:val="restart"/>
            <w:shd w:val="clear" w:color="auto" w:fill="DAEEF3"/>
            <w:vAlign w:val="center"/>
          </w:tcPr>
          <w:p>
            <w:pPr>
              <w:widowControl/>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在华南公司辖区内统一分配（云南、贵州、四川、重庆、广西、广东）；云贵地区为主</w:t>
            </w: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widowControl/>
              <w:rPr>
                <w:sz w:val="16"/>
                <w:szCs w:val="16"/>
              </w:rPr>
            </w:pPr>
            <w:r>
              <w:rPr>
                <w:rFonts w:hint="eastAsia"/>
                <w:sz w:val="16"/>
                <w:szCs w:val="16"/>
              </w:rPr>
              <w:t>本科：自动化，测控技术与仪器</w:t>
            </w:r>
            <w:r>
              <w:rPr>
                <w:rFonts w:hint="eastAsia"/>
                <w:sz w:val="16"/>
                <w:szCs w:val="16"/>
              </w:rPr>
              <w:br/>
            </w:r>
            <w:r>
              <w:rPr>
                <w:rFonts w:hint="eastAsia"/>
                <w:sz w:val="16"/>
                <w:szCs w:val="16"/>
              </w:rPr>
              <w:t>硕研：控制科学与工程、仪器仪表工程</w:t>
            </w:r>
          </w:p>
        </w:tc>
        <w:tc>
          <w:tcPr>
            <w:tcW w:w="1170" w:type="dxa"/>
            <w:vMerge w:val="continue"/>
            <w:shd w:val="clear" w:color="auto" w:fill="DAEEF3"/>
            <w:vAlign w:val="center"/>
          </w:tcPr>
          <w:p>
            <w:pPr>
              <w:widowControl/>
              <w:rPr>
                <w:rFonts w:ascii="宋体" w:hAnsi="宋体" w:eastAsia="宋体" w:cs="宋体"/>
                <w:kern w:val="0"/>
                <w:sz w:val="11"/>
                <w:szCs w:val="11"/>
              </w:rPr>
            </w:pPr>
          </w:p>
        </w:tc>
        <w:tc>
          <w:tcPr>
            <w:tcW w:w="1547"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08"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生产技术管理岗</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5</w:t>
            </w:r>
          </w:p>
        </w:tc>
        <w:tc>
          <w:tcPr>
            <w:tcW w:w="1000" w:type="dxa"/>
            <w:vMerge w:val="continue"/>
            <w:shd w:val="clear" w:color="auto" w:fill="DAEEF3"/>
            <w:vAlign w:val="center"/>
          </w:tcPr>
          <w:p>
            <w:pPr>
              <w:widowControl/>
              <w:jc w:val="center"/>
              <w:rPr>
                <w:rFonts w:ascii="田氏颜体大字库" w:hAnsi="田氏颜体大字库" w:eastAsia="田氏颜体大字库" w:cs="宋体"/>
                <w:b/>
                <w:kern w:val="0"/>
                <w:sz w:val="13"/>
                <w:szCs w:val="13"/>
              </w:rPr>
            </w:pP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widowControl/>
              <w:rPr>
                <w:sz w:val="16"/>
                <w:szCs w:val="16"/>
              </w:rPr>
            </w:pPr>
            <w:r>
              <w:rPr>
                <w:rFonts w:hint="eastAsia"/>
                <w:sz w:val="16"/>
                <w:szCs w:val="16"/>
              </w:rPr>
              <w:t>本科：油气储运工程，石油与天然气工程</w:t>
            </w:r>
            <w:r>
              <w:rPr>
                <w:rFonts w:hint="eastAsia"/>
                <w:sz w:val="16"/>
                <w:szCs w:val="16"/>
              </w:rPr>
              <w:br/>
            </w:r>
            <w:r>
              <w:rPr>
                <w:rFonts w:hint="eastAsia"/>
                <w:sz w:val="16"/>
                <w:szCs w:val="16"/>
              </w:rPr>
              <w:t>硕研：油气储运工程，石油与天然气工程</w:t>
            </w:r>
          </w:p>
        </w:tc>
        <w:tc>
          <w:tcPr>
            <w:tcW w:w="1170" w:type="dxa"/>
            <w:vMerge w:val="continue"/>
            <w:shd w:val="clear" w:color="auto" w:fill="DAEEF3"/>
            <w:vAlign w:val="center"/>
          </w:tcPr>
          <w:p>
            <w:pPr>
              <w:widowControl/>
              <w:rPr>
                <w:rFonts w:ascii="宋体" w:hAnsi="宋体" w:eastAsia="宋体" w:cs="宋体"/>
                <w:kern w:val="0"/>
                <w:sz w:val="11"/>
                <w:szCs w:val="11"/>
              </w:rPr>
            </w:pPr>
          </w:p>
        </w:tc>
        <w:tc>
          <w:tcPr>
            <w:tcW w:w="1547"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67"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设备管理岗</w:t>
            </w:r>
            <w:r>
              <w:rPr>
                <w:rFonts w:ascii="黑体" w:hAnsi="黑体" w:eastAsia="黑体" w:cs="宋体"/>
                <w:b/>
                <w:kern w:val="0"/>
                <w:sz w:val="13"/>
                <w:szCs w:val="13"/>
              </w:rPr>
              <w:t xml:space="preserve"> </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4</w:t>
            </w:r>
          </w:p>
        </w:tc>
        <w:tc>
          <w:tcPr>
            <w:tcW w:w="1000" w:type="dxa"/>
            <w:vMerge w:val="continue"/>
            <w:shd w:val="clear" w:color="auto" w:fill="DAEEF3"/>
            <w:vAlign w:val="center"/>
          </w:tcPr>
          <w:p>
            <w:pPr>
              <w:widowControl/>
              <w:jc w:val="center"/>
              <w:rPr>
                <w:rFonts w:ascii="田氏颜体大字库" w:hAnsi="田氏颜体大字库" w:eastAsia="田氏颜体大字库" w:cs="宋体"/>
                <w:b/>
                <w:kern w:val="0"/>
                <w:sz w:val="13"/>
                <w:szCs w:val="13"/>
              </w:rPr>
            </w:pP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widowControl/>
              <w:rPr>
                <w:sz w:val="16"/>
                <w:szCs w:val="16"/>
              </w:rPr>
            </w:pPr>
            <w:r>
              <w:rPr>
                <w:rFonts w:hint="eastAsia"/>
                <w:sz w:val="16"/>
                <w:szCs w:val="16"/>
              </w:rPr>
              <w:t>本科：机械工程，机械工程及自动化，机械设计制造及其自动化，过程装备与控制工程，机械制造与自动化，机械电子工程，机械设计及理论，机械工程，化工过程机械，机械电子工程</w:t>
            </w:r>
            <w:r>
              <w:rPr>
                <w:rFonts w:hint="eastAsia"/>
                <w:sz w:val="16"/>
                <w:szCs w:val="16"/>
              </w:rPr>
              <w:br/>
            </w:r>
            <w:r>
              <w:rPr>
                <w:rFonts w:hint="eastAsia"/>
                <w:sz w:val="16"/>
                <w:szCs w:val="16"/>
              </w:rPr>
              <w:t>硕研：机械工程，机械电子工程、机械制造及其自动化、化工过程机械</w:t>
            </w:r>
          </w:p>
        </w:tc>
        <w:tc>
          <w:tcPr>
            <w:tcW w:w="1170" w:type="dxa"/>
            <w:vMerge w:val="continue"/>
            <w:shd w:val="clear" w:color="auto" w:fill="DAEEF3"/>
            <w:vAlign w:val="center"/>
          </w:tcPr>
          <w:p>
            <w:pPr>
              <w:widowControl/>
              <w:rPr>
                <w:rFonts w:ascii="宋体" w:hAnsi="宋体" w:eastAsia="宋体" w:cs="宋体"/>
                <w:kern w:val="0"/>
                <w:sz w:val="11"/>
                <w:szCs w:val="11"/>
              </w:rPr>
            </w:pPr>
          </w:p>
        </w:tc>
        <w:tc>
          <w:tcPr>
            <w:tcW w:w="1547"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电气管理岗</w:t>
            </w:r>
          </w:p>
        </w:tc>
        <w:tc>
          <w:tcPr>
            <w:tcW w:w="567"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4</w:t>
            </w:r>
          </w:p>
        </w:tc>
        <w:tc>
          <w:tcPr>
            <w:tcW w:w="1000" w:type="dxa"/>
            <w:vMerge w:val="continue"/>
            <w:shd w:val="clear" w:color="auto" w:fill="DAEEF3"/>
            <w:vAlign w:val="center"/>
          </w:tcPr>
          <w:p>
            <w:pPr>
              <w:widowControl/>
              <w:jc w:val="center"/>
              <w:rPr>
                <w:rFonts w:ascii="田氏颜体大字库" w:hAnsi="田氏颜体大字库" w:eastAsia="田氏颜体大字库" w:cs="宋体"/>
                <w:b/>
                <w:kern w:val="0"/>
                <w:sz w:val="13"/>
                <w:szCs w:val="13"/>
              </w:rPr>
            </w:pPr>
          </w:p>
        </w:tc>
        <w:tc>
          <w:tcPr>
            <w:tcW w:w="559" w:type="dxa"/>
            <w:shd w:val="clear" w:color="auto" w:fill="DAEEF3"/>
            <w:vAlign w:val="center"/>
          </w:tcPr>
          <w:p>
            <w:pPr>
              <w:widowControl/>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widowControl/>
              <w:rPr>
                <w:sz w:val="16"/>
                <w:szCs w:val="16"/>
              </w:rPr>
            </w:pPr>
            <w:r>
              <w:rPr>
                <w:rFonts w:hint="eastAsia"/>
                <w:sz w:val="16"/>
                <w:szCs w:val="16"/>
              </w:rPr>
              <w:t>本科：电气工程及其自动化，电气工程，电力系统及其自动化，电力工程与管理</w:t>
            </w:r>
            <w:r>
              <w:rPr>
                <w:rFonts w:hint="eastAsia"/>
                <w:sz w:val="16"/>
                <w:szCs w:val="16"/>
              </w:rPr>
              <w:br/>
            </w:r>
            <w:r>
              <w:rPr>
                <w:rFonts w:hint="eastAsia"/>
                <w:sz w:val="16"/>
                <w:szCs w:val="16"/>
              </w:rPr>
              <w:t>硕研：电气工程、电力系统及其自动化</w:t>
            </w:r>
          </w:p>
        </w:tc>
        <w:tc>
          <w:tcPr>
            <w:tcW w:w="1170" w:type="dxa"/>
            <w:vMerge w:val="continue"/>
            <w:shd w:val="clear" w:color="auto" w:fill="DAEEF3"/>
            <w:vAlign w:val="center"/>
          </w:tcPr>
          <w:p>
            <w:pPr>
              <w:widowControl/>
              <w:rPr>
                <w:rFonts w:ascii="宋体" w:hAnsi="宋体" w:eastAsia="宋体" w:cs="宋体"/>
                <w:kern w:val="0"/>
                <w:sz w:val="11"/>
                <w:szCs w:val="11"/>
              </w:rPr>
            </w:pPr>
          </w:p>
        </w:tc>
        <w:tc>
          <w:tcPr>
            <w:tcW w:w="1547" w:type="dxa"/>
            <w:shd w:val="clear" w:color="auto" w:fill="DAEEF3"/>
            <w:vAlign w:val="center"/>
          </w:tcPr>
          <w:p>
            <w:pPr>
              <w:widowControl/>
              <w:jc w:val="center"/>
              <w:rPr>
                <w:rFonts w:ascii="黑体" w:hAnsi="黑体" w:eastAsia="黑体" w:cs="宋体"/>
                <w:b/>
                <w:kern w:val="0"/>
                <w:sz w:val="13"/>
                <w:szCs w:val="13"/>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jc w:val="center"/>
              <w:rPr>
                <w:rFonts w:ascii="黑体" w:hAnsi="黑体" w:eastAsia="黑体" w:cs="宋体"/>
                <w:b/>
                <w:kern w:val="0"/>
                <w:sz w:val="13"/>
                <w:szCs w:val="13"/>
              </w:rPr>
            </w:pPr>
            <w:r>
              <w:rPr>
                <w:rFonts w:hint="eastAsia" w:ascii="黑体" w:hAnsi="黑体" w:eastAsia="黑体" w:cs="宋体"/>
                <w:b/>
                <w:kern w:val="0"/>
                <w:sz w:val="13"/>
                <w:szCs w:val="13"/>
              </w:rPr>
              <w:t>安全环保管理岗</w:t>
            </w:r>
            <w:r>
              <w:rPr>
                <w:rFonts w:ascii="黑体" w:hAnsi="黑体" w:eastAsia="黑体" w:cs="宋体"/>
                <w:b/>
                <w:kern w:val="0"/>
                <w:sz w:val="13"/>
                <w:szCs w:val="13"/>
              </w:rPr>
              <w:t xml:space="preserve">  </w:t>
            </w:r>
          </w:p>
        </w:tc>
        <w:tc>
          <w:tcPr>
            <w:tcW w:w="567" w:type="dxa"/>
            <w:shd w:val="clear" w:color="auto" w:fill="DAEEF3"/>
            <w:vAlign w:val="center"/>
          </w:tcPr>
          <w:p>
            <w:pPr>
              <w:jc w:val="center"/>
              <w:rPr>
                <w:rFonts w:ascii="宋体" w:hAnsi="宋体" w:eastAsia="宋体" w:cs="宋体"/>
                <w:sz w:val="16"/>
                <w:szCs w:val="16"/>
              </w:rPr>
            </w:pPr>
            <w:r>
              <w:rPr>
                <w:rFonts w:hint="eastAsia"/>
                <w:sz w:val="16"/>
                <w:szCs w:val="16"/>
              </w:rPr>
              <w:t>6</w:t>
            </w:r>
          </w:p>
        </w:tc>
        <w:tc>
          <w:tcPr>
            <w:tcW w:w="1000" w:type="dxa"/>
            <w:vMerge w:val="continue"/>
            <w:shd w:val="clear" w:color="auto" w:fill="DAEEF3"/>
            <w:vAlign w:val="center"/>
          </w:tcPr>
          <w:p>
            <w:pPr>
              <w:jc w:val="center"/>
              <w:rPr>
                <w:rFonts w:ascii="田氏颜体大字库" w:hAnsi="田氏颜体大字库" w:eastAsia="田氏颜体大字库" w:cs="宋体"/>
                <w:b/>
                <w:kern w:val="0"/>
                <w:sz w:val="13"/>
                <w:szCs w:val="13"/>
              </w:rPr>
            </w:pPr>
          </w:p>
        </w:tc>
        <w:tc>
          <w:tcPr>
            <w:tcW w:w="559" w:type="dxa"/>
            <w:shd w:val="clear" w:color="auto" w:fill="DAEEF3"/>
            <w:vAlign w:val="center"/>
          </w:tcPr>
          <w:p>
            <w:pPr>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rPr>
                <w:rFonts w:ascii="宋体" w:hAnsi="宋体" w:eastAsia="宋体" w:cs="宋体"/>
                <w:sz w:val="16"/>
                <w:szCs w:val="16"/>
              </w:rPr>
            </w:pPr>
            <w:r>
              <w:rPr>
                <w:rFonts w:hint="eastAsia"/>
                <w:sz w:val="16"/>
                <w:szCs w:val="16"/>
              </w:rPr>
              <w:t>本科：安全工程，安全技术及工程，安全科学与工程；消防工程</w:t>
            </w:r>
            <w:r>
              <w:rPr>
                <w:rFonts w:hint="eastAsia"/>
                <w:sz w:val="16"/>
                <w:szCs w:val="16"/>
              </w:rPr>
              <w:br/>
            </w:r>
            <w:r>
              <w:rPr>
                <w:rFonts w:hint="eastAsia"/>
                <w:sz w:val="16"/>
                <w:szCs w:val="16"/>
              </w:rPr>
              <w:t>硕研：安全工程，安全技术及工程、安全科学与工程</w:t>
            </w:r>
          </w:p>
        </w:tc>
        <w:tc>
          <w:tcPr>
            <w:tcW w:w="1170" w:type="dxa"/>
            <w:vMerge w:val="continue"/>
            <w:shd w:val="clear" w:color="auto" w:fill="DAEEF3"/>
            <w:vAlign w:val="center"/>
          </w:tcPr>
          <w:p>
            <w:pPr>
              <w:rPr>
                <w:rFonts w:ascii="宋体" w:hAnsi="宋体" w:eastAsia="宋体" w:cs="宋体"/>
                <w:sz w:val="16"/>
                <w:szCs w:val="16"/>
              </w:rPr>
            </w:pPr>
          </w:p>
        </w:tc>
        <w:tc>
          <w:tcPr>
            <w:tcW w:w="1547" w:type="dxa"/>
            <w:shd w:val="clear" w:color="auto" w:fill="DAEEF3"/>
            <w:vAlign w:val="center"/>
          </w:tcPr>
          <w:p>
            <w:pPr>
              <w:jc w:val="center"/>
              <w:rPr>
                <w:rFonts w:ascii="宋体" w:hAnsi="宋体" w:eastAsia="宋体" w:cs="宋体"/>
                <w:sz w:val="16"/>
                <w:szCs w:val="16"/>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jc w:val="center"/>
              <w:rPr>
                <w:rFonts w:ascii="黑体" w:hAnsi="黑体" w:eastAsia="黑体" w:cs="宋体"/>
                <w:b/>
                <w:kern w:val="0"/>
                <w:sz w:val="13"/>
                <w:szCs w:val="13"/>
              </w:rPr>
            </w:pPr>
            <w:r>
              <w:rPr>
                <w:rFonts w:hint="eastAsia" w:ascii="黑体" w:hAnsi="黑体" w:eastAsia="黑体" w:cs="宋体"/>
                <w:b/>
                <w:kern w:val="0"/>
                <w:sz w:val="13"/>
                <w:szCs w:val="13"/>
              </w:rPr>
              <w:t>管道通信管理岗</w:t>
            </w:r>
          </w:p>
        </w:tc>
        <w:tc>
          <w:tcPr>
            <w:tcW w:w="567" w:type="dxa"/>
            <w:shd w:val="clear" w:color="auto" w:fill="DAEEF3"/>
            <w:vAlign w:val="center"/>
          </w:tcPr>
          <w:p>
            <w:pPr>
              <w:jc w:val="center"/>
              <w:rPr>
                <w:rFonts w:ascii="宋体" w:hAnsi="宋体" w:eastAsia="宋体" w:cs="宋体"/>
                <w:sz w:val="16"/>
                <w:szCs w:val="16"/>
              </w:rPr>
            </w:pPr>
            <w:r>
              <w:rPr>
                <w:rFonts w:hint="eastAsia"/>
                <w:sz w:val="16"/>
                <w:szCs w:val="16"/>
              </w:rPr>
              <w:t>6</w:t>
            </w:r>
          </w:p>
        </w:tc>
        <w:tc>
          <w:tcPr>
            <w:tcW w:w="1000" w:type="dxa"/>
            <w:vMerge w:val="continue"/>
            <w:shd w:val="clear" w:color="auto" w:fill="DAEEF3"/>
            <w:vAlign w:val="center"/>
          </w:tcPr>
          <w:p>
            <w:pPr>
              <w:jc w:val="center"/>
              <w:rPr>
                <w:rFonts w:ascii="田氏颜体大字库" w:hAnsi="田氏颜体大字库" w:eastAsia="田氏颜体大字库" w:cs="宋体"/>
                <w:b/>
                <w:kern w:val="0"/>
                <w:sz w:val="13"/>
                <w:szCs w:val="13"/>
              </w:rPr>
            </w:pPr>
          </w:p>
        </w:tc>
        <w:tc>
          <w:tcPr>
            <w:tcW w:w="559" w:type="dxa"/>
            <w:shd w:val="clear" w:color="auto" w:fill="DAEEF3"/>
            <w:vAlign w:val="center"/>
          </w:tcPr>
          <w:p>
            <w:pPr>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rPr>
                <w:rFonts w:ascii="宋体" w:hAnsi="宋体" w:eastAsia="宋体" w:cs="宋体"/>
                <w:sz w:val="16"/>
                <w:szCs w:val="16"/>
              </w:rPr>
            </w:pPr>
            <w:r>
              <w:rPr>
                <w:rFonts w:hint="eastAsia"/>
                <w:sz w:val="16"/>
                <w:szCs w:val="16"/>
              </w:rPr>
              <w:t>本科：土木工程，建筑与土木工程，工程管理；金属材料工程（防腐方向），材料科学与工程(金属防腐方向)，材料物理(金属防腐方向)，材料化学(金属防腐方向)，材料学(金属防腐方向)，材料工程，焊接技术与工程；通信工程，电子信息工程，计算机科学与技术，信息与通信工程，控制科学与工程，电子与通信工程，电子科学与技术，电子与信息，计算机技术，计算机应用技术</w:t>
            </w:r>
            <w:r>
              <w:rPr>
                <w:rFonts w:hint="eastAsia"/>
                <w:sz w:val="16"/>
                <w:szCs w:val="16"/>
              </w:rPr>
              <w:br/>
            </w:r>
            <w:r>
              <w:rPr>
                <w:rFonts w:hint="eastAsia"/>
                <w:sz w:val="16"/>
                <w:szCs w:val="16"/>
              </w:rPr>
              <w:t>硕研：建筑与土木工程，工程管理；金属材料工程（防腐方向），材料科学与工程(金属防腐方向)，材料物理(金属防腐方向)，材料化学(金属防腐方向)，材料物理与化学（金属防腐方向）；材料学(金属防腐方向)，材料工程，焊接技术与工程；通信工程，电子信息工程，计算机科学与技术，通信与信息系统，信息与通信工程，控制科学与工程，电子与通信工程，电子科学与技术，电子与信息，计算机技术，计算机应用技术</w:t>
            </w:r>
          </w:p>
        </w:tc>
        <w:tc>
          <w:tcPr>
            <w:tcW w:w="1170" w:type="dxa"/>
            <w:vMerge w:val="continue"/>
            <w:shd w:val="clear" w:color="auto" w:fill="DAEEF3"/>
            <w:vAlign w:val="center"/>
          </w:tcPr>
          <w:p>
            <w:pPr>
              <w:rPr>
                <w:rFonts w:ascii="宋体" w:hAnsi="宋体" w:eastAsia="宋体" w:cs="宋体"/>
                <w:sz w:val="16"/>
                <w:szCs w:val="16"/>
              </w:rPr>
            </w:pPr>
          </w:p>
        </w:tc>
        <w:tc>
          <w:tcPr>
            <w:tcW w:w="1547" w:type="dxa"/>
            <w:shd w:val="clear" w:color="auto" w:fill="DAEEF3"/>
            <w:vAlign w:val="center"/>
          </w:tcPr>
          <w:p>
            <w:pPr>
              <w:jc w:val="center"/>
              <w:rPr>
                <w:rFonts w:ascii="宋体" w:hAnsi="宋体" w:eastAsia="宋体" w:cs="宋体"/>
                <w:sz w:val="16"/>
                <w:szCs w:val="16"/>
              </w:rPr>
            </w:pPr>
            <w:r>
              <w:rPr>
                <w:rFonts w:hint="eastAsia" w:ascii="黑体" w:hAnsi="黑体" w:eastAsia="黑体" w:cs="宋体"/>
                <w:b/>
                <w:kern w:val="0"/>
                <w:sz w:val="13"/>
                <w:szCs w:val="13"/>
              </w:rPr>
              <w:t>符合中国石化“优才引进”条件的，纳入优才引进范围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jc w:val="center"/>
              <w:rPr>
                <w:rFonts w:ascii="黑体" w:hAnsi="黑体" w:eastAsia="黑体" w:cs="宋体"/>
                <w:b/>
                <w:kern w:val="0"/>
                <w:sz w:val="13"/>
                <w:szCs w:val="13"/>
              </w:rPr>
            </w:pPr>
            <w:r>
              <w:rPr>
                <w:rFonts w:hint="eastAsia" w:ascii="黑体" w:hAnsi="黑体" w:eastAsia="黑体" w:cs="宋体"/>
                <w:b/>
                <w:kern w:val="0"/>
                <w:sz w:val="13"/>
                <w:szCs w:val="13"/>
              </w:rPr>
              <w:t>经营与物流管理岗</w:t>
            </w:r>
            <w:r>
              <w:rPr>
                <w:rFonts w:ascii="黑体" w:hAnsi="黑体" w:eastAsia="黑体" w:cs="宋体"/>
                <w:b/>
                <w:kern w:val="0"/>
                <w:sz w:val="13"/>
                <w:szCs w:val="13"/>
              </w:rPr>
              <w:t xml:space="preserve"> </w:t>
            </w:r>
          </w:p>
        </w:tc>
        <w:tc>
          <w:tcPr>
            <w:tcW w:w="567" w:type="dxa"/>
            <w:shd w:val="clear" w:color="auto" w:fill="DAEEF3"/>
            <w:vAlign w:val="center"/>
          </w:tcPr>
          <w:p>
            <w:pPr>
              <w:jc w:val="center"/>
              <w:rPr>
                <w:rFonts w:ascii="宋体" w:hAnsi="宋体" w:eastAsia="宋体" w:cs="宋体"/>
                <w:sz w:val="16"/>
                <w:szCs w:val="16"/>
              </w:rPr>
            </w:pPr>
            <w:r>
              <w:rPr>
                <w:rFonts w:hint="eastAsia"/>
                <w:sz w:val="16"/>
                <w:szCs w:val="16"/>
              </w:rPr>
              <w:t>2</w:t>
            </w:r>
          </w:p>
        </w:tc>
        <w:tc>
          <w:tcPr>
            <w:tcW w:w="1000" w:type="dxa"/>
            <w:shd w:val="clear" w:color="auto" w:fill="DAEEF3"/>
            <w:vAlign w:val="center"/>
          </w:tcPr>
          <w:p>
            <w:pPr>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广东、海南</w:t>
            </w:r>
          </w:p>
        </w:tc>
        <w:tc>
          <w:tcPr>
            <w:tcW w:w="559" w:type="dxa"/>
            <w:shd w:val="clear" w:color="auto" w:fill="DAEEF3"/>
            <w:vAlign w:val="center"/>
          </w:tcPr>
          <w:p>
            <w:pPr>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rPr>
                <w:rFonts w:ascii="宋体" w:hAnsi="宋体" w:eastAsia="宋体" w:cs="宋体"/>
                <w:sz w:val="16"/>
                <w:szCs w:val="16"/>
              </w:rPr>
            </w:pPr>
            <w:r>
              <w:rPr>
                <w:rFonts w:hint="eastAsia"/>
                <w:sz w:val="16"/>
                <w:szCs w:val="16"/>
              </w:rPr>
              <w:t>本科：数学与应用数学、应用数学；交通运输、交通运输管理、物流管理、物流工程；国际经济与贸易、贸易经济、经济学</w:t>
            </w:r>
            <w:r>
              <w:rPr>
                <w:rFonts w:hint="eastAsia"/>
                <w:sz w:val="16"/>
                <w:szCs w:val="16"/>
              </w:rPr>
              <w:br/>
            </w:r>
            <w:r>
              <w:rPr>
                <w:rFonts w:hint="eastAsia"/>
                <w:sz w:val="16"/>
                <w:szCs w:val="16"/>
              </w:rPr>
              <w:t>硕研：交通运输工程、物流工程；应用数学；经济学、国际商务、国际贸易学</w:t>
            </w:r>
          </w:p>
        </w:tc>
        <w:tc>
          <w:tcPr>
            <w:tcW w:w="1170" w:type="dxa"/>
            <w:shd w:val="clear" w:color="auto" w:fill="DAEEF3"/>
            <w:vAlign w:val="center"/>
          </w:tcPr>
          <w:p>
            <w:pPr>
              <w:rPr>
                <w:rFonts w:ascii="宋体" w:hAnsi="宋体" w:eastAsia="宋体" w:cs="宋体"/>
                <w:sz w:val="16"/>
                <w:szCs w:val="16"/>
              </w:rPr>
            </w:pPr>
            <w:r>
              <w:rPr>
                <w:rFonts w:hint="eastAsia"/>
                <w:sz w:val="16"/>
                <w:szCs w:val="16"/>
              </w:rPr>
              <w:t>本科英语四级（CET-4）425分及以上或相当水平</w:t>
            </w:r>
            <w:r>
              <w:rPr>
                <w:rFonts w:hint="eastAsia"/>
                <w:sz w:val="16"/>
                <w:szCs w:val="16"/>
              </w:rPr>
              <w:br/>
            </w:r>
            <w:r>
              <w:rPr>
                <w:rFonts w:hint="eastAsia"/>
                <w:sz w:val="16"/>
                <w:szCs w:val="16"/>
              </w:rPr>
              <w:t>硕研英语六级（CET-6）425分及以上或相当水平</w:t>
            </w:r>
          </w:p>
        </w:tc>
        <w:tc>
          <w:tcPr>
            <w:tcW w:w="1547" w:type="dxa"/>
            <w:shd w:val="clear" w:color="auto" w:fill="DAEEF3"/>
            <w:vAlign w:val="center"/>
          </w:tcPr>
          <w:p>
            <w:pPr>
              <w:jc w:val="center"/>
              <w:rPr>
                <w:rFonts w:ascii="宋体" w:hAnsi="宋体" w:eastAsia="宋体" w:cs="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jc w:val="center"/>
              <w:rPr>
                <w:rFonts w:ascii="黑体" w:hAnsi="黑体" w:eastAsia="黑体" w:cs="宋体"/>
                <w:b/>
                <w:kern w:val="0"/>
                <w:sz w:val="13"/>
                <w:szCs w:val="13"/>
              </w:rPr>
            </w:pPr>
            <w:r>
              <w:rPr>
                <w:rFonts w:hint="eastAsia" w:ascii="黑体" w:hAnsi="黑体" w:eastAsia="黑体" w:cs="宋体"/>
                <w:b/>
                <w:kern w:val="0"/>
                <w:sz w:val="13"/>
                <w:szCs w:val="13"/>
              </w:rPr>
              <w:t>综合管理岗</w:t>
            </w:r>
          </w:p>
        </w:tc>
        <w:tc>
          <w:tcPr>
            <w:tcW w:w="567" w:type="dxa"/>
            <w:shd w:val="clear" w:color="auto" w:fill="DAEEF3"/>
            <w:vAlign w:val="center"/>
          </w:tcPr>
          <w:p>
            <w:pPr>
              <w:jc w:val="center"/>
              <w:rPr>
                <w:rFonts w:ascii="宋体" w:hAnsi="宋体" w:eastAsia="宋体" w:cs="宋体"/>
                <w:sz w:val="16"/>
                <w:szCs w:val="16"/>
              </w:rPr>
            </w:pPr>
            <w:r>
              <w:rPr>
                <w:rFonts w:hint="eastAsia"/>
                <w:sz w:val="16"/>
                <w:szCs w:val="16"/>
              </w:rPr>
              <w:t>2</w:t>
            </w:r>
          </w:p>
        </w:tc>
        <w:tc>
          <w:tcPr>
            <w:tcW w:w="1000" w:type="dxa"/>
            <w:shd w:val="clear" w:color="auto" w:fill="DAEEF3"/>
            <w:vAlign w:val="center"/>
          </w:tcPr>
          <w:p>
            <w:pPr>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广州，深圳</w:t>
            </w:r>
          </w:p>
        </w:tc>
        <w:tc>
          <w:tcPr>
            <w:tcW w:w="559" w:type="dxa"/>
            <w:shd w:val="clear" w:color="auto" w:fill="DAEEF3"/>
            <w:vAlign w:val="center"/>
          </w:tcPr>
          <w:p>
            <w:pPr>
              <w:jc w:val="center"/>
              <w:rPr>
                <w:rFonts w:ascii="宋体" w:hAnsi="宋体" w:eastAsia="宋体" w:cs="宋体"/>
                <w:kern w:val="0"/>
                <w:sz w:val="13"/>
                <w:szCs w:val="13"/>
              </w:rPr>
            </w:pPr>
            <w:r>
              <w:rPr>
                <w:rFonts w:hint="eastAsia" w:ascii="宋体" w:hAnsi="宋体" w:eastAsia="宋体" w:cs="宋体"/>
                <w:kern w:val="0"/>
                <w:sz w:val="13"/>
                <w:szCs w:val="13"/>
              </w:rPr>
              <w:t>硕研</w:t>
            </w:r>
          </w:p>
        </w:tc>
        <w:tc>
          <w:tcPr>
            <w:tcW w:w="4862" w:type="dxa"/>
            <w:shd w:val="clear" w:color="auto" w:fill="DAEEF3"/>
            <w:vAlign w:val="center"/>
          </w:tcPr>
          <w:p>
            <w:pPr>
              <w:rPr>
                <w:rFonts w:ascii="宋体" w:hAnsi="宋体" w:eastAsia="宋体" w:cs="宋体"/>
                <w:sz w:val="16"/>
                <w:szCs w:val="16"/>
              </w:rPr>
            </w:pPr>
            <w:r>
              <w:rPr>
                <w:rFonts w:hint="eastAsia"/>
                <w:sz w:val="16"/>
                <w:szCs w:val="16"/>
              </w:rPr>
              <w:t>汉语言文字学、汉语言文学、语言学及应用语言学；心理学，应用心理学，基础心理学，组织行为与人力资源管理；法律、法律硕士、经济法学、民商法学；社会保障、劳动关系；</w:t>
            </w:r>
          </w:p>
        </w:tc>
        <w:tc>
          <w:tcPr>
            <w:tcW w:w="1170" w:type="dxa"/>
            <w:shd w:val="clear" w:color="auto" w:fill="DAEEF3"/>
            <w:vAlign w:val="center"/>
          </w:tcPr>
          <w:p>
            <w:pPr>
              <w:rPr>
                <w:rFonts w:ascii="宋体" w:hAnsi="宋体" w:eastAsia="宋体" w:cs="宋体"/>
                <w:sz w:val="16"/>
                <w:szCs w:val="16"/>
              </w:rPr>
            </w:pPr>
            <w:r>
              <w:rPr>
                <w:rFonts w:hint="eastAsia"/>
                <w:sz w:val="16"/>
                <w:szCs w:val="16"/>
              </w:rPr>
              <w:t>硕研英语六级（CET-6）550分及以上或相当水平</w:t>
            </w:r>
          </w:p>
        </w:tc>
        <w:tc>
          <w:tcPr>
            <w:tcW w:w="1547" w:type="dxa"/>
            <w:shd w:val="clear" w:color="auto" w:fill="DAEEF3"/>
            <w:vAlign w:val="center"/>
          </w:tcPr>
          <w:p>
            <w:pPr>
              <w:jc w:val="center"/>
              <w:rPr>
                <w:rFonts w:ascii="宋体" w:hAnsi="宋体" w:eastAsia="宋体" w:cs="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AEEF3"/>
          <w:tblLayout w:type="fixed"/>
          <w:tblCellMar>
            <w:left w:w="108" w:type="dxa"/>
            <w:right w:w="108" w:type="dxa"/>
          </w:tblCellMar>
        </w:tblPrEx>
        <w:trPr>
          <w:trHeight w:val="985" w:hRule="atLeast"/>
          <w:jc w:val="center"/>
        </w:trPr>
        <w:tc>
          <w:tcPr>
            <w:tcW w:w="1211" w:type="dxa"/>
            <w:shd w:val="clear" w:color="auto" w:fill="DAEEF3"/>
            <w:vAlign w:val="center"/>
          </w:tcPr>
          <w:p>
            <w:pPr>
              <w:jc w:val="center"/>
              <w:rPr>
                <w:rFonts w:ascii="黑体" w:hAnsi="黑体" w:eastAsia="黑体" w:cs="宋体"/>
                <w:b/>
                <w:kern w:val="0"/>
                <w:sz w:val="13"/>
                <w:szCs w:val="13"/>
              </w:rPr>
            </w:pPr>
            <w:r>
              <w:rPr>
                <w:rFonts w:hint="eastAsia" w:ascii="黑体" w:hAnsi="黑体" w:eastAsia="黑体" w:cs="宋体"/>
                <w:b/>
                <w:kern w:val="0"/>
                <w:sz w:val="13"/>
                <w:szCs w:val="13"/>
              </w:rPr>
              <w:t>生产技术管理岗</w:t>
            </w:r>
            <w:r>
              <w:rPr>
                <w:rFonts w:hint="eastAsia" w:ascii="黑体" w:hAnsi="黑体" w:eastAsia="黑体" w:cs="宋体"/>
                <w:b/>
                <w:kern w:val="0"/>
                <w:sz w:val="13"/>
                <w:szCs w:val="13"/>
              </w:rPr>
              <w:br/>
            </w:r>
            <w:r>
              <w:rPr>
                <w:rFonts w:hint="eastAsia" w:ascii="黑体" w:hAnsi="黑体" w:eastAsia="黑体" w:cs="宋体"/>
                <w:b/>
                <w:kern w:val="0"/>
                <w:sz w:val="13"/>
                <w:szCs w:val="13"/>
              </w:rPr>
              <w:t>（三地）</w:t>
            </w:r>
          </w:p>
        </w:tc>
        <w:tc>
          <w:tcPr>
            <w:tcW w:w="567" w:type="dxa"/>
            <w:shd w:val="clear" w:color="auto" w:fill="DAEEF3"/>
            <w:vAlign w:val="center"/>
          </w:tcPr>
          <w:p>
            <w:pPr>
              <w:jc w:val="center"/>
              <w:rPr>
                <w:rFonts w:ascii="宋体" w:hAnsi="宋体" w:eastAsia="宋体" w:cs="宋体"/>
                <w:sz w:val="16"/>
                <w:szCs w:val="16"/>
              </w:rPr>
            </w:pPr>
            <w:r>
              <w:rPr>
                <w:rFonts w:hint="eastAsia"/>
                <w:sz w:val="16"/>
                <w:szCs w:val="16"/>
              </w:rPr>
              <w:t>1</w:t>
            </w:r>
          </w:p>
        </w:tc>
        <w:tc>
          <w:tcPr>
            <w:tcW w:w="1000" w:type="dxa"/>
            <w:shd w:val="clear" w:color="auto" w:fill="DAEEF3"/>
            <w:vAlign w:val="center"/>
          </w:tcPr>
          <w:p>
            <w:pPr>
              <w:jc w:val="center"/>
              <w:rPr>
                <w:rFonts w:ascii="田氏颜体大字库" w:hAnsi="田氏颜体大字库" w:eastAsia="田氏颜体大字库" w:cs="宋体"/>
                <w:b/>
                <w:kern w:val="0"/>
                <w:sz w:val="13"/>
                <w:szCs w:val="13"/>
              </w:rPr>
            </w:pPr>
            <w:r>
              <w:rPr>
                <w:rFonts w:hint="eastAsia" w:ascii="田氏颜体大字库" w:hAnsi="田氏颜体大字库" w:eastAsia="田氏颜体大字库" w:cs="宋体"/>
                <w:b/>
                <w:kern w:val="0"/>
                <w:sz w:val="13"/>
                <w:szCs w:val="13"/>
              </w:rPr>
              <w:t>在华南公司辖区内统一分配（云南、贵州、四川、重庆、广西、广东）；云贵地区为主</w:t>
            </w:r>
          </w:p>
        </w:tc>
        <w:tc>
          <w:tcPr>
            <w:tcW w:w="559" w:type="dxa"/>
            <w:shd w:val="clear" w:color="auto" w:fill="DAEEF3"/>
            <w:vAlign w:val="center"/>
          </w:tcPr>
          <w:p>
            <w:pPr>
              <w:jc w:val="center"/>
              <w:rPr>
                <w:rFonts w:ascii="宋体" w:hAnsi="宋体" w:eastAsia="宋体" w:cs="宋体"/>
                <w:kern w:val="0"/>
                <w:sz w:val="13"/>
                <w:szCs w:val="13"/>
              </w:rPr>
            </w:pPr>
            <w:r>
              <w:rPr>
                <w:rFonts w:hint="eastAsia" w:ascii="宋体" w:hAnsi="宋体" w:eastAsia="宋体" w:cs="宋体"/>
                <w:kern w:val="0"/>
                <w:sz w:val="13"/>
                <w:szCs w:val="13"/>
              </w:rPr>
              <w:t>本科、硕研</w:t>
            </w:r>
          </w:p>
        </w:tc>
        <w:tc>
          <w:tcPr>
            <w:tcW w:w="4862" w:type="dxa"/>
            <w:shd w:val="clear" w:color="auto" w:fill="DAEEF3"/>
            <w:vAlign w:val="center"/>
          </w:tcPr>
          <w:p>
            <w:pPr>
              <w:rPr>
                <w:rFonts w:ascii="宋体" w:hAnsi="宋体" w:eastAsia="宋体" w:cs="宋体"/>
                <w:sz w:val="16"/>
                <w:szCs w:val="16"/>
              </w:rPr>
            </w:pPr>
            <w:r>
              <w:rPr>
                <w:rFonts w:hint="eastAsia"/>
                <w:sz w:val="16"/>
                <w:szCs w:val="16"/>
              </w:rPr>
              <w:t>本科：工程管理，工程造价，项目管理，自动化，测控技术与仪器；油气储运工程，石油与天然气工程，机械工程，机械工程及自动化，机械设计制造及其自动化，过程装备与控制工程，机械制造与自动化，机械电子工程，机械设计及理论，机械工程，化工过程机械，机械电子工程；电气工程及其自动化，电气工程，电力系统及其自动化，电力工程与管理；安全工程，安全技术及工程，安全科学与工程；消防工程；土木工程，建筑与土木工程，工程管理；金属材料工程（防腐方向），材料科学与工程(金属防腐方向)，材料物理(金属防腐方向)，材料化学(金属防腐方向)，材料学(金属防腐方向)，材料工程，焊接技术与工程；通信工程，电子信息工程，计算机科学与技术，信息与通信工程，控制科学与工程，电子与通信工程，电子科学与技术，电子与信息，计算机技术，计算机应用技术</w:t>
            </w:r>
            <w:r>
              <w:rPr>
                <w:rFonts w:hint="eastAsia"/>
                <w:sz w:val="16"/>
                <w:szCs w:val="16"/>
              </w:rPr>
              <w:br/>
            </w:r>
            <w:r>
              <w:rPr>
                <w:rFonts w:hint="eastAsia"/>
                <w:sz w:val="16"/>
                <w:szCs w:val="16"/>
              </w:rPr>
              <w:t>硕研：工程管理，项目管理；控制科学与工程、仪器仪表工程；油气储运工程，石油与天然气工程；机械工程，机械电子工程、机械制造及其自动化、化工过程机械；电气工程、电力系统及其自动化；安全工程，安全技术及工程、安全科学与工程；建筑与土木工程，工程管理；金属材料工程（防腐方向），材料科学与工程(金属防腐方向)，材料物理(金属防腐方向)，材料化学(金属防腐方向)，材料物理与化学（金属防腐方向）；材料学(金属防腐方向)，材料工程，焊接技术与工程；通信工程，电子信息工程，计算机科学与技术，通信与信息系统，信息与通信工程，控制科学与工程，电子与通信工程，电子科学与技术，电子与信息，计算机技术，计算机应用技术</w:t>
            </w:r>
          </w:p>
        </w:tc>
        <w:tc>
          <w:tcPr>
            <w:tcW w:w="1170" w:type="dxa"/>
            <w:shd w:val="clear" w:color="auto" w:fill="DAEEF3"/>
            <w:vAlign w:val="center"/>
          </w:tcPr>
          <w:p>
            <w:pPr>
              <w:rPr>
                <w:rFonts w:ascii="宋体" w:hAnsi="宋体" w:eastAsia="宋体" w:cs="宋体"/>
                <w:sz w:val="16"/>
                <w:szCs w:val="16"/>
              </w:rPr>
            </w:pPr>
            <w:r>
              <w:rPr>
                <w:rFonts w:hint="eastAsia"/>
                <w:sz w:val="16"/>
                <w:szCs w:val="16"/>
              </w:rPr>
              <w:t>本科英语四级（CET-4）425分及以上或相当水平</w:t>
            </w:r>
            <w:r>
              <w:rPr>
                <w:rFonts w:hint="eastAsia"/>
                <w:sz w:val="16"/>
                <w:szCs w:val="16"/>
              </w:rPr>
              <w:br/>
            </w:r>
            <w:r>
              <w:rPr>
                <w:rFonts w:hint="eastAsia"/>
                <w:sz w:val="16"/>
                <w:szCs w:val="16"/>
              </w:rPr>
              <w:t>硕研英语六级（CET-6）425分及以上或相当水平</w:t>
            </w:r>
          </w:p>
        </w:tc>
        <w:tc>
          <w:tcPr>
            <w:tcW w:w="1547" w:type="dxa"/>
            <w:shd w:val="clear" w:color="auto" w:fill="DAEEF3"/>
            <w:vAlign w:val="center"/>
          </w:tcPr>
          <w:p>
            <w:pPr>
              <w:jc w:val="center"/>
              <w:rPr>
                <w:rFonts w:hint="eastAsia" w:ascii="黑体" w:hAnsi="黑体" w:eastAsia="黑体" w:cs="宋体"/>
                <w:b/>
                <w:color w:val="C00000"/>
                <w:kern w:val="0"/>
                <w:sz w:val="15"/>
                <w:szCs w:val="15"/>
              </w:rPr>
            </w:pPr>
            <w:r>
              <w:rPr>
                <w:rFonts w:hint="eastAsia" w:ascii="黑体" w:hAnsi="黑体" w:eastAsia="黑体" w:cs="宋体"/>
                <w:b/>
                <w:color w:val="C00000"/>
                <w:kern w:val="0"/>
                <w:sz w:val="15"/>
                <w:szCs w:val="15"/>
              </w:rPr>
              <w:t>1．必须为西藏、青海、新疆三地生源或西藏、青海、新疆三地高校毕业生。</w:t>
            </w:r>
          </w:p>
          <w:p>
            <w:pPr>
              <w:jc w:val="center"/>
              <w:rPr>
                <w:rFonts w:ascii="宋体" w:hAnsi="宋体" w:eastAsia="宋体" w:cs="宋体"/>
                <w:sz w:val="16"/>
                <w:szCs w:val="16"/>
              </w:rPr>
            </w:pPr>
            <w:r>
              <w:rPr>
                <w:rFonts w:hint="eastAsia" w:ascii="宋体" w:hAnsi="宋体" w:eastAsia="宋体" w:cs="宋体"/>
                <w:sz w:val="16"/>
                <w:szCs w:val="16"/>
              </w:rPr>
              <w:t>2.</w:t>
            </w:r>
            <w:r>
              <w:rPr>
                <w:rFonts w:hint="eastAsia" w:ascii="黑体" w:hAnsi="黑体" w:eastAsia="黑体" w:cs="宋体"/>
                <w:b/>
                <w:kern w:val="0"/>
                <w:sz w:val="13"/>
                <w:szCs w:val="13"/>
              </w:rPr>
              <w:t xml:space="preserve"> 符合中国石化“优才引进”条件的，纳入优才引进范围</w:t>
            </w:r>
          </w:p>
        </w:tc>
      </w:tr>
    </w:tbl>
    <w:p>
      <w:pPr>
        <w:jc w:val="center"/>
        <w:rPr>
          <w:rFonts w:ascii="仿宋_GB2312" w:hAnsi="宋体" w:eastAsia="仿宋_GB2312" w:cs="宋体"/>
          <w:kern w:val="0"/>
          <w:sz w:val="13"/>
          <w:szCs w:val="13"/>
        </w:rPr>
      </w:pPr>
    </w:p>
    <w:p>
      <w:pPr>
        <w:jc w:val="center"/>
        <w:rPr>
          <w:rFonts w:ascii="仿宋_GB2312" w:hAnsi="宋体" w:eastAsia="仿宋_GB2312" w:cs="宋体"/>
          <w:kern w:val="0"/>
          <w:sz w:val="13"/>
          <w:szCs w:val="13"/>
        </w:rPr>
      </w:pPr>
    </w:p>
    <w:p>
      <w:pPr>
        <w:pStyle w:val="5"/>
        <w:spacing w:before="0" w:beforeAutospacing="0" w:after="0" w:afterAutospacing="0"/>
        <w:ind w:firstLine="403"/>
        <w:jc w:val="both"/>
        <w:rPr>
          <w:rFonts w:ascii="楷体" w:hAnsi="楷体" w:eastAsia="楷体"/>
          <w:b/>
          <w:sz w:val="28"/>
          <w:szCs w:val="28"/>
        </w:rPr>
      </w:pPr>
      <w:r>
        <w:rPr>
          <w:rFonts w:hint="eastAsia" w:ascii="楷体" w:hAnsi="楷体" w:eastAsia="楷体"/>
          <w:b/>
          <w:sz w:val="28"/>
          <w:szCs w:val="28"/>
        </w:rPr>
        <w:t>中国石化人才招聘网站：</w:t>
      </w:r>
      <w:r>
        <w:fldChar w:fldCharType="begin"/>
      </w:r>
      <w:r>
        <w:instrText xml:space="preserve">HYPERLINK "http://job.sinopec.com/Index.aspx" </w:instrText>
      </w:r>
      <w:r>
        <w:fldChar w:fldCharType="separate"/>
      </w:r>
      <w:r>
        <w:rPr>
          <w:rStyle w:val="7"/>
          <w:rFonts w:ascii="楷体" w:hAnsi="楷体" w:eastAsia="楷体"/>
          <w:b/>
          <w:sz w:val="28"/>
          <w:szCs w:val="28"/>
        </w:rPr>
        <w:t>http://job.sinopec.com/Index.aspx</w:t>
      </w:r>
      <w:r>
        <w:fldChar w:fldCharType="end"/>
      </w:r>
    </w:p>
    <w:p>
      <w:pPr>
        <w:pStyle w:val="5"/>
        <w:spacing w:before="0" w:beforeAutospacing="0" w:after="0" w:afterAutospacing="0"/>
        <w:ind w:firstLine="403"/>
        <w:jc w:val="both"/>
        <w:rPr>
          <w:rFonts w:ascii="楷体" w:hAnsi="楷体" w:eastAsia="楷体"/>
          <w:b/>
          <w:color w:val="C00000"/>
          <w:sz w:val="21"/>
          <w:szCs w:val="21"/>
        </w:rPr>
      </w:pPr>
      <w:r>
        <w:rPr>
          <w:rFonts w:hint="eastAsia" w:ascii="楷体" w:hAnsi="楷体" w:eastAsia="楷体"/>
          <w:b/>
          <w:color w:val="C00000"/>
          <w:sz w:val="21"/>
          <w:szCs w:val="21"/>
          <w:highlight w:val="yellow"/>
        </w:rPr>
        <w:t>（请务必于11月20日前注册并投递简历，选择油品销售企业——销售华南分公司）</w:t>
      </w:r>
    </w:p>
    <w:p>
      <w:pPr>
        <w:pStyle w:val="5"/>
        <w:spacing w:before="0" w:beforeAutospacing="0" w:after="0" w:afterAutospacing="0"/>
        <w:ind w:firstLine="403"/>
        <w:jc w:val="both"/>
        <w:rPr>
          <w:rFonts w:ascii="仿宋_GB2312" w:eastAsia="仿宋_GB2312"/>
          <w:sz w:val="13"/>
          <w:szCs w:val="13"/>
        </w:rPr>
      </w:pPr>
      <w:r>
        <w:rPr>
          <w:rFonts w:hint="eastAsia" w:ascii="楷体" w:hAnsi="楷体" w:eastAsia="楷体"/>
          <w:b/>
          <w:sz w:val="28"/>
          <w:szCs w:val="28"/>
        </w:rPr>
        <w:t>销售华南分公司咨询邮箱：</w:t>
      </w:r>
      <w:r>
        <w:rPr>
          <w:rFonts w:ascii="楷体" w:hAnsi="楷体" w:eastAsia="楷体"/>
          <w:b/>
          <w:sz w:val="28"/>
          <w:szCs w:val="28"/>
        </w:rPr>
        <w:t>zgshxshnfgs@126.com</w:t>
      </w:r>
    </w:p>
    <w:sectPr>
      <w:pgSz w:w="11906" w:h="16838"/>
      <w:pgMar w:top="1440" w:right="567"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2010600040101010101"/>
    <w:charset w:val="86"/>
    <w:family w:val="auto"/>
    <w:pitch w:val="default"/>
    <w:sig w:usb0="00000287" w:usb1="080F0000" w:usb2="00000010" w:usb3="00000000" w:csb0="0004009F" w:csb1="00000000"/>
  </w:font>
  <w:font w:name="仿宋_GB2312">
    <w:altName w:val="仿宋"/>
    <w:panose1 w:val="02010609030101010101"/>
    <w:charset w:val="86"/>
    <w:family w:val="auto"/>
    <w:pitch w:val="default"/>
    <w:sig w:usb0="00000001" w:usb1="080E0000" w:usb2="00000010" w:usb3="00000000" w:csb0="00040000" w:csb1="00000000"/>
  </w:font>
  <w:font w:name="华文行楷">
    <w:altName w:val="微软雅黑"/>
    <w:panose1 w:val="02010800040101010101"/>
    <w:charset w:val="86"/>
    <w:family w:val="auto"/>
    <w:pitch w:val="default"/>
    <w:sig w:usb0="00000001" w:usb1="080E0000" w:usb2="00000010" w:usb3="00000000" w:csb0="00040000" w:csb1="00000000"/>
  </w:font>
  <w:font w:name="田氏颜体大字库">
    <w:altName w:val="宋体"/>
    <w:panose1 w:val="020B0503020204020204"/>
    <w:charset w:val="86"/>
    <w:family w:val="auto"/>
    <w:pitch w:val="default"/>
    <w:sig w:usb0="A00002BF" w:usb1="78CFFCFB" w:usb2="00000016" w:usb3="00000000" w:csb0="8016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D3333"/>
    <w:rsid w:val="00004376"/>
    <w:rsid w:val="00043374"/>
    <w:rsid w:val="0005596D"/>
    <w:rsid w:val="00071C7F"/>
    <w:rsid w:val="000A05FE"/>
    <w:rsid w:val="000B6B1E"/>
    <w:rsid w:val="00100759"/>
    <w:rsid w:val="001060F1"/>
    <w:rsid w:val="001950D6"/>
    <w:rsid w:val="001974AE"/>
    <w:rsid w:val="001E24FC"/>
    <w:rsid w:val="00206D79"/>
    <w:rsid w:val="00223AB2"/>
    <w:rsid w:val="00241ADB"/>
    <w:rsid w:val="00255526"/>
    <w:rsid w:val="002649AC"/>
    <w:rsid w:val="002A500B"/>
    <w:rsid w:val="002C7447"/>
    <w:rsid w:val="002D03E4"/>
    <w:rsid w:val="00315BFE"/>
    <w:rsid w:val="0033034E"/>
    <w:rsid w:val="00331577"/>
    <w:rsid w:val="00341C57"/>
    <w:rsid w:val="003606EA"/>
    <w:rsid w:val="0036454A"/>
    <w:rsid w:val="003B65E1"/>
    <w:rsid w:val="003B6FE2"/>
    <w:rsid w:val="003C1DA2"/>
    <w:rsid w:val="003C276B"/>
    <w:rsid w:val="004043D5"/>
    <w:rsid w:val="00420C4E"/>
    <w:rsid w:val="00433761"/>
    <w:rsid w:val="00464023"/>
    <w:rsid w:val="0048371F"/>
    <w:rsid w:val="004B62D6"/>
    <w:rsid w:val="004D258F"/>
    <w:rsid w:val="0051616F"/>
    <w:rsid w:val="00526E5D"/>
    <w:rsid w:val="00530A01"/>
    <w:rsid w:val="005804B7"/>
    <w:rsid w:val="0058746C"/>
    <w:rsid w:val="005A3A10"/>
    <w:rsid w:val="005B106B"/>
    <w:rsid w:val="005B626B"/>
    <w:rsid w:val="005D3333"/>
    <w:rsid w:val="005D7C04"/>
    <w:rsid w:val="00607602"/>
    <w:rsid w:val="00613F7F"/>
    <w:rsid w:val="006303A8"/>
    <w:rsid w:val="00676773"/>
    <w:rsid w:val="00681AFA"/>
    <w:rsid w:val="006C60D4"/>
    <w:rsid w:val="006D4D9D"/>
    <w:rsid w:val="006F45F6"/>
    <w:rsid w:val="00713E4C"/>
    <w:rsid w:val="00713EE1"/>
    <w:rsid w:val="0074160D"/>
    <w:rsid w:val="007768FB"/>
    <w:rsid w:val="007917B5"/>
    <w:rsid w:val="007A43A1"/>
    <w:rsid w:val="007C1967"/>
    <w:rsid w:val="007D62FF"/>
    <w:rsid w:val="007E41E0"/>
    <w:rsid w:val="007F4453"/>
    <w:rsid w:val="00801284"/>
    <w:rsid w:val="008138C8"/>
    <w:rsid w:val="00837BCE"/>
    <w:rsid w:val="00860B88"/>
    <w:rsid w:val="008C56AE"/>
    <w:rsid w:val="008E2492"/>
    <w:rsid w:val="008F05A6"/>
    <w:rsid w:val="008F276A"/>
    <w:rsid w:val="00903ED8"/>
    <w:rsid w:val="00950A6A"/>
    <w:rsid w:val="0095152A"/>
    <w:rsid w:val="0095286D"/>
    <w:rsid w:val="0097216F"/>
    <w:rsid w:val="009D2B04"/>
    <w:rsid w:val="00A17CC6"/>
    <w:rsid w:val="00A32E02"/>
    <w:rsid w:val="00A36E7A"/>
    <w:rsid w:val="00A66DC4"/>
    <w:rsid w:val="00AA2421"/>
    <w:rsid w:val="00AA506C"/>
    <w:rsid w:val="00AA6D52"/>
    <w:rsid w:val="00AB1439"/>
    <w:rsid w:val="00AB2E1B"/>
    <w:rsid w:val="00AC7077"/>
    <w:rsid w:val="00B0329B"/>
    <w:rsid w:val="00B139C5"/>
    <w:rsid w:val="00B25ED8"/>
    <w:rsid w:val="00B61B3B"/>
    <w:rsid w:val="00B7440B"/>
    <w:rsid w:val="00B80E0C"/>
    <w:rsid w:val="00B83BBA"/>
    <w:rsid w:val="00BA190F"/>
    <w:rsid w:val="00BA5C8A"/>
    <w:rsid w:val="00BB530F"/>
    <w:rsid w:val="00BC1BF5"/>
    <w:rsid w:val="00BD5AC9"/>
    <w:rsid w:val="00BF01E1"/>
    <w:rsid w:val="00BF0FB6"/>
    <w:rsid w:val="00C8792B"/>
    <w:rsid w:val="00C94947"/>
    <w:rsid w:val="00CD7905"/>
    <w:rsid w:val="00D0101B"/>
    <w:rsid w:val="00D01788"/>
    <w:rsid w:val="00D11CAB"/>
    <w:rsid w:val="00D6421C"/>
    <w:rsid w:val="00DA2E97"/>
    <w:rsid w:val="00DA46AB"/>
    <w:rsid w:val="00DB2231"/>
    <w:rsid w:val="00DC787D"/>
    <w:rsid w:val="00DD1505"/>
    <w:rsid w:val="00DD2C59"/>
    <w:rsid w:val="00DE16FD"/>
    <w:rsid w:val="00DE79D0"/>
    <w:rsid w:val="00E056BA"/>
    <w:rsid w:val="00E13AB8"/>
    <w:rsid w:val="00E17A3E"/>
    <w:rsid w:val="00E24FF5"/>
    <w:rsid w:val="00E364A8"/>
    <w:rsid w:val="00E4752F"/>
    <w:rsid w:val="00E66FEA"/>
    <w:rsid w:val="00EB67A0"/>
    <w:rsid w:val="00ED62DE"/>
    <w:rsid w:val="00EF4EE0"/>
    <w:rsid w:val="00F1542D"/>
    <w:rsid w:val="00F325F9"/>
    <w:rsid w:val="00F3306E"/>
    <w:rsid w:val="00F4559E"/>
    <w:rsid w:val="00F4693D"/>
    <w:rsid w:val="00F5012E"/>
    <w:rsid w:val="00F75130"/>
    <w:rsid w:val="00F75A27"/>
    <w:rsid w:val="00F82FB3"/>
    <w:rsid w:val="00FB19F8"/>
    <w:rsid w:val="00FC44F0"/>
    <w:rsid w:val="00FE5BED"/>
    <w:rsid w:val="00FF326A"/>
    <w:rsid w:val="00FF4A37"/>
    <w:rsid w:val="671D2C6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0"/>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paragraph" w:customStyle="1" w:styleId="9">
    <w:name w:val="List Paragraph"/>
    <w:basedOn w:val="1"/>
    <w:qFormat/>
    <w:uiPriority w:val="34"/>
    <w:pPr>
      <w:ind w:firstLine="420" w:firstLineChars="200"/>
    </w:pPr>
  </w:style>
  <w:style w:type="character" w:customStyle="1" w:styleId="10">
    <w:name w:val="批注框文本 Char"/>
    <w:basedOn w:val="6"/>
    <w:link w:val="2"/>
    <w:semiHidden/>
    <w:uiPriority w:val="99"/>
    <w:rPr>
      <w:sz w:val="18"/>
      <w:szCs w:val="18"/>
    </w:rPr>
  </w:style>
  <w:style w:type="character" w:customStyle="1" w:styleId="11">
    <w:name w:val="页眉 Char"/>
    <w:basedOn w:val="6"/>
    <w:link w:val="4"/>
    <w:semiHidden/>
    <w:uiPriority w:val="99"/>
    <w:rPr>
      <w:sz w:val="18"/>
      <w:szCs w:val="18"/>
    </w:rPr>
  </w:style>
  <w:style w:type="character" w:customStyle="1" w:styleId="12">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497</Words>
  <Characters>2839</Characters>
  <Lines>23</Lines>
  <Paragraphs>6</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2014-10-16T03:15:00Z</dcterms:created>
  <dc:creator>丁明洁</dc:creator>
  <cp:lastModifiedBy>Administrator</cp:lastModifiedBy>
  <cp:lastPrinted>2014-10-16T02:32:00Z</cp:lastPrinted>
  <dcterms:modified xsi:type="dcterms:W3CDTF">2015-11-02T03:17:16Z</dcterms:modified>
  <dc:title>中国石化销售有限公司华南分公司简介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